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B163"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line="700" w:lineRule="exact"/>
        <w:jc w:val="center"/>
        <w:textAlignment w:val="auto"/>
        <w:outlineLvl w:val="1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bidi="ar-SA"/>
        </w:rPr>
      </w:pPr>
      <w:bookmarkStart w:id="0" w:name="_Toc28934601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bidi="ar-SA"/>
        </w:rPr>
        <w:t>余区管委会督办工作管理规定（试行）</w:t>
      </w:r>
      <w:bookmarkEnd w:id="0"/>
    </w:p>
    <w:p w14:paraId="4283006D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E9C5114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第一章 总则</w:t>
      </w:r>
    </w:p>
    <w:p w14:paraId="1DE29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192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第一条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为进一步规范管委会督办工作，确保上级、学校及管委会决策决定、重点工作等有效贯彻落实，根据上级有关文件精神，结合管委会实际情况，制定本办法。</w:t>
      </w:r>
    </w:p>
    <w:p w14:paraId="63269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工作坚持以习近平新时代中国特色社会主义思想为指导，全面贯彻落实党的十九大精神，牢固树立“四个意识”、坚决做到“两个维护”，以踏石留印、抓铁有痕的劲头，深入一线、真督实干，为上级和管委会决策部署有效执行提供有力保障。</w:t>
      </w:r>
    </w:p>
    <w:p w14:paraId="0F54D4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第三条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督办工作是落实检查的有效途径，是提高管理绩效的关键环节，是提升执行力的必要举措。加强督办工作，有助于维护管委会决策的严肃性和权威性。</w:t>
      </w:r>
    </w:p>
    <w:p w14:paraId="32663B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管委会建立党委统一领导，综合办公室综合协调，承办单位牵头落实，配合单位积极响应的督办工作体系。综合办公室是管委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开展督办工作的综合协调部门，负责对各类督办事项进行提醒、催办，督促各相关单位落实督办事项，收集汇总督办事项反馈信息并向管委会反馈。</w:t>
      </w:r>
    </w:p>
    <w:p w14:paraId="476BEEDF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2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55A4BFD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第二章 督办工作原则</w:t>
      </w:r>
    </w:p>
    <w:p w14:paraId="3C0AB8D5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91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第五条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坚持实事求是、有据可依的原则。督办工作依据上级文件、学校决策、管委会领导批示等进行，有据可依，不得随意调整督办事项内容。</w:t>
      </w:r>
    </w:p>
    <w:p w14:paraId="742BF464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第六条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坚持重点突出、责任明确的原则。督办工作要重点突出，明确责任主体和细化要素，避免工作相互推诿、管理 缺位。</w:t>
      </w:r>
    </w:p>
    <w:p w14:paraId="0E15EB17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77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第七条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坚持注重时效、协同配合的原则。督办事项一经确立必须高效执行，相关单位按工作分工主动落实、积极配合，不得敷衍拖沓，确保管委会决策高效执行。</w:t>
      </w:r>
    </w:p>
    <w:p w14:paraId="208D31FA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34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第八条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坚持遵纪保密、合理回避的原则。督办工作应注重工作纪律，涉及敏感信息、信访事件的督办事项要做好保密 工作，防止信息外泄。若督办过程中有单位或个人与执行事项存在利益关系，应自觉予以回避。</w:t>
      </w:r>
    </w:p>
    <w:p w14:paraId="00C3BA22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3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BBA9E87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第三章 督办工作范围</w:t>
      </w:r>
    </w:p>
    <w:p w14:paraId="7B7C338B">
      <w:pPr>
        <w:pStyle w:val="2"/>
        <w:keepNext w:val="0"/>
        <w:keepLines w:val="0"/>
        <w:widowControl w:val="0"/>
        <w:tabs>
          <w:tab w:val="left" w:pos="2163"/>
        </w:tabs>
        <w:kinsoku/>
        <w:wordWrap/>
        <w:overflowPunct/>
        <w:topLinePunct w:val="0"/>
        <w:bidi w:val="0"/>
        <w:adjustRightInd/>
        <w:snapToGrid w:val="0"/>
        <w:spacing w:before="268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第九条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管委会重要会议决策：管委会党委会、党政联席会及扩大会决策中需要督办的事项。</w:t>
      </w:r>
    </w:p>
    <w:p w14:paraId="6F163EA7">
      <w:pPr>
        <w:pStyle w:val="2"/>
        <w:keepNext w:val="0"/>
        <w:keepLines w:val="0"/>
        <w:widowControl w:val="0"/>
        <w:tabs>
          <w:tab w:val="left" w:pos="2163"/>
        </w:tabs>
        <w:kinsoku/>
        <w:wordWrap/>
        <w:overflowPunct/>
        <w:topLinePunct w:val="0"/>
        <w:bidi w:val="0"/>
        <w:adjustRightInd/>
        <w:snapToGrid w:val="0"/>
        <w:spacing w:before="18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学校年度党政工作要点或重大规划需要督办的事项，管委会年度重点工作。</w:t>
      </w:r>
    </w:p>
    <w:p w14:paraId="3409B5FF">
      <w:pPr>
        <w:pStyle w:val="2"/>
        <w:keepNext w:val="0"/>
        <w:keepLines w:val="0"/>
        <w:widowControl w:val="0"/>
        <w:tabs>
          <w:tab w:val="left" w:pos="2464"/>
        </w:tabs>
        <w:kinsoku/>
        <w:wordWrap/>
        <w:overflowPunct/>
        <w:topLinePunct w:val="0"/>
        <w:bidi w:val="0"/>
        <w:adjustRightInd/>
        <w:snapToGrid w:val="0"/>
        <w:spacing w:before="18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第十一条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管委会其他重要事项：上级重要决策部署、上级部门交办、转办的重要事项；管委会领导批示交办事项；管委会党代会、 教代会、党委会及专项工作会重要决策等需要督办的事项。</w:t>
      </w:r>
    </w:p>
    <w:p w14:paraId="35425D07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第四章 督办工作流程</w:t>
      </w:r>
    </w:p>
    <w:p w14:paraId="0F208E62">
      <w:pPr>
        <w:keepNext w:val="0"/>
        <w:keepLines w:val="0"/>
        <w:widowControl w:val="0"/>
        <w:tabs>
          <w:tab w:val="left" w:pos="2461"/>
        </w:tabs>
        <w:kinsoku/>
        <w:wordWrap/>
        <w:overflowPunct/>
        <w:topLinePunct w:val="0"/>
        <w:bidi w:val="0"/>
        <w:adjustRightInd/>
        <w:snapToGrid w:val="0"/>
        <w:spacing w:before="268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督办事项立项。</w:t>
      </w:r>
    </w:p>
    <w:p w14:paraId="29576BA1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管委会重要会议决策事项督办立项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授权综合办公室根据会议精神确定；管委会其他重要事项立项，由管委会领导确定。督办事项立项须明确承办主体（承办单位、配合单位）、工作内容、办结时限等要素，做到责任明确、要求具体、一事一立， 逐项分类建立督办工作台账。</w:t>
      </w:r>
    </w:p>
    <w:p w14:paraId="2BBE6D2C">
      <w:pPr>
        <w:keepNext w:val="0"/>
        <w:keepLines w:val="0"/>
        <w:widowControl w:val="0"/>
        <w:tabs>
          <w:tab w:val="left" w:pos="2461"/>
        </w:tabs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第十三条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督办事项交办。</w:t>
      </w:r>
    </w:p>
    <w:p w14:paraId="6B62459F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6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管委会办公室通过学校办公系统、电话、短信等方式向承办 单位下达督办通知，告知督办事项有关要素，要求承办单位按要求执行。</w:t>
      </w:r>
    </w:p>
    <w:p w14:paraId="2A5F9C2A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第十四条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督办事项承办。</w:t>
      </w:r>
    </w:p>
    <w:p w14:paraId="0313028A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承办单位根据督办事项内容，制定工作计划或方案，明确目标任务和时间节点，会同配合单位推进落实，及时反馈工作进展情况。</w:t>
      </w:r>
    </w:p>
    <w:p w14:paraId="7D207E88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第十五条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督办事项催办。</w:t>
      </w:r>
    </w:p>
    <w:p w14:paraId="78673023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54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督办事项办理过程中，党政办公室应及时了解掌握进展情况，对于无明显进展的事项，进行催办并做好催办记录。承办单位因客观原因在规定时间内无法完成，经承办单位申请，综合办报管委会负责人审定，确定新的办结期限后可延期执行。</w:t>
      </w:r>
    </w:p>
    <w:p w14:paraId="1666772B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第十六条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执行情况反馈。</w:t>
      </w:r>
    </w:p>
    <w:p w14:paraId="612A7555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承办单位向综合办公室反馈执行情况；综合办公室根据反馈信息完成督办工作台账，按照相关议事规则向管委会党政联席会或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管委会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负责人反馈执行情况。</w:t>
      </w:r>
    </w:p>
    <w:p w14:paraId="1420AD38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第十七条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完成情况回访复查。</w:t>
      </w:r>
    </w:p>
    <w:p w14:paraId="5422C891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在综合运用各种方式开展督办工作的基础上，综合办公室采用回访或复查的方式进行随机抽查，检查相关单位完成情况，确保工作得到有效执行。</w:t>
      </w:r>
    </w:p>
    <w:p w14:paraId="5A19E8A8">
      <w:pPr>
        <w:keepNext w:val="0"/>
        <w:keepLines w:val="0"/>
        <w:widowControl w:val="0"/>
        <w:tabs>
          <w:tab w:val="left" w:pos="2452"/>
        </w:tabs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第十八条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信息资料归档。</w:t>
      </w:r>
    </w:p>
    <w:p w14:paraId="3DAAD715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6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各承办单位做好有关资料的保存工作。综合办公室汇总督办工作台账信息，及时立卷归档。</w:t>
      </w:r>
    </w:p>
    <w:p w14:paraId="4F04B141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第五章 督办事项办理</w:t>
      </w:r>
    </w:p>
    <w:p w14:paraId="4207D786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91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第十九条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督办工作主要依托学校办公系统开展，或根据实际情况通过口头提醒、书面通知、走访协调、会议协商等形式开展，做好相关记录或纪要。</w:t>
      </w:r>
    </w:p>
    <w:p w14:paraId="20BC745A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77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管委会各内设二级机构是督办事项的承办主体，应制定一名督办工作联络员，负责本可是督办事项的信息传递，与配 合单位对接各项任务的分办、催办，保证督办事项的推进落实及信息高效传递。</w:t>
      </w:r>
    </w:p>
    <w:p w14:paraId="0D49EFBC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第二十一条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办单位负责人是督办事项的第一责任人，履行主体责任，认真领会精神，加强组织领导，进一步细化任务，对督办事项落实情况的真实性和有效性负责。对涉及职责交叉、多部门联动的事项，由承办单位负责组织协调，主动联系配合单位推进落实；配合单位要加强责任意识，积极配合，协助推进落实。</w:t>
      </w:r>
    </w:p>
    <w:p w14:paraId="4F58A26B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第二十二条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督办工作执行限时办结制度。</w:t>
      </w:r>
    </w:p>
    <w:p w14:paraId="55745447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管委会党政联席会会议决策已明确办结时限的，按会议精神确定办结时限；未明确办结时限的，原则上自会议纪要印发之日起5 个工作日定为办结时限；5个工作日无法办结的事项，根据实际确定。</w:t>
      </w:r>
    </w:p>
    <w:p w14:paraId="6E33E369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37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在规定时间内无法完成的事项，承办单位可在办理期限内申请延期一次，延期申请需经管委会负责人确定。</w:t>
      </w:r>
    </w:p>
    <w:p w14:paraId="61321829">
      <w:pPr>
        <w:pStyle w:val="2"/>
        <w:keepNext w:val="0"/>
        <w:keepLines w:val="0"/>
        <w:widowControl w:val="0"/>
        <w:tabs>
          <w:tab w:val="left" w:pos="2814"/>
        </w:tabs>
        <w:kinsoku/>
        <w:wordWrap/>
        <w:overflowPunct/>
        <w:topLinePunct w:val="0"/>
        <w:bidi w:val="0"/>
        <w:adjustRightInd/>
        <w:snapToGrid w:val="0"/>
        <w:spacing w:before="111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第二十三条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办单位要及时反馈事项办理情况，反馈信息要实事求是、重点突出、简明扼要、结论准确，不得敷衍拖沓、不能虚报延报漏报。对紧急、特殊的事项，要立刻反馈；对难度较大、办理周期较长的事项，要适时分阶段反馈。涉及两个及以上承办单位的事项，配合单位要主动向承办单位反馈办理信息，承办单位汇总各配合单位反馈信息后向综合办公室进行反馈。综合办公室严格审核，确保反馈信息质量。综合办公室及时向党政联席会、管委会领导馈执行情况。</w:t>
      </w:r>
    </w:p>
    <w:p w14:paraId="7B79450E">
      <w:pPr>
        <w:keepNext w:val="0"/>
        <w:keepLines w:val="0"/>
        <w:widowControl w:val="0"/>
        <w:tabs>
          <w:tab w:val="left" w:pos="1930"/>
        </w:tabs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第二十四条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因客观原因承办单位无法完成的督办事项，经管委会会议审议或管委会负责人同意后，按会议精神或管委会领导意见执行。</w:t>
      </w:r>
    </w:p>
    <w:p w14:paraId="3540FC39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1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0AC9B1D">
      <w:pPr>
        <w:pStyle w:val="2"/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54" w:line="560" w:lineRule="exact"/>
        <w:ind w:right="56"/>
        <w:jc w:val="center"/>
        <w:textAlignment w:val="auto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 w:bidi="ar-SA"/>
        </w:rPr>
        <w:t>第六章 附 则</w:t>
      </w:r>
    </w:p>
    <w:p w14:paraId="570525AF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91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第二十五条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督办工作完成情况列入内设二级机构年度考核内容，综合办公室将督办工作完成情况向相关部门通报，作为单位考核、干部考评、绩效分配的依据。</w:t>
      </w:r>
    </w:p>
    <w:p w14:paraId="4D4756FE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77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第二十六条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涉及执纪审查事项的督办由纪委书记负责；涉密事项的督办由单位保密负责人负责。</w:t>
      </w:r>
    </w:p>
    <w:p w14:paraId="0C4D34A6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9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第二十七条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本办法由综合办公室负责解释。</w:t>
      </w:r>
    </w:p>
    <w:p w14:paraId="46D54DFD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 w:val="0"/>
        <w:spacing w:before="19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第二十八条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本办法自印发之日起执行。</w:t>
      </w:r>
    </w:p>
    <w:p w14:paraId="712A89DE"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31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BFFB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BFFB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6073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F800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F800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F44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4504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zI1MDQ4OTkwZDhjODFmYzk3NWFlNjE4YzY0NzUifQ=="/>
  </w:docVars>
  <w:rsids>
    <w:rsidRoot w:val="00000000"/>
    <w:rsid w:val="02EC7932"/>
    <w:rsid w:val="2F614B74"/>
    <w:rsid w:val="5CE71AB5"/>
    <w:rsid w:val="6E9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2335</Words>
  <Characters>2335</Characters>
  <Lines>0</Lines>
  <Paragraphs>0</Paragraphs>
  <TotalTime>8</TotalTime>
  <ScaleCrop>false</ScaleCrop>
  <LinksUpToDate>false</LinksUpToDate>
  <CharactersWithSpaces>2378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2023-04-21T08:30:00Z</dcterms:created>
  <dc:creator>Administrator</dc:creator>
  <cp:lastModifiedBy>湫深</cp:lastModifiedBy>
  <dcterms:modified xsi:type="dcterms:W3CDTF">2025-10-30T01:50:18Z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AD03B8F3FB8E499CB68A985788937EA2_12</vt:lpwstr>
  </property>
  <property fmtid="{D5CDD505-2E9C-101B-9397-08002B2CF9AE}" pid="4" name="KSOTemplateDocerSaveRecord">
    <vt:lpwstr>eyJoZGlkIjoiZjkzZTFjMTQzNmRiMDc1MzUzMzE2ODM1NGNkNmU1MTYiLCJ1c2VySWQiOiIxMTQ5NzEwMDY5In0=</vt:lpwstr>
  </property>
</Properties>
</file>