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20" w:after="360" w:line="7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sz w:val="44"/>
          <w:szCs w:val="44"/>
        </w:rPr>
      </w:pPr>
      <w:bookmarkStart w:id="0" w:name="_Toc28934603"/>
      <w:r>
        <w:rPr>
          <w:rFonts w:hint="eastAsia" w:ascii="方正大标宋简体" w:hAnsi="方正大标宋简体" w:eastAsia="方正大标宋简体" w:cs="方正大标宋简体"/>
          <w:b w:val="0"/>
          <w:sz w:val="44"/>
          <w:szCs w:val="44"/>
        </w:rPr>
        <w:t>余区管委会经费使用管理办法</w:t>
      </w:r>
      <w:bookmarkEnd w:id="0"/>
    </w:p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为了进一步贯彻执行国家财经法规和学校经费使用相关规定，规范余区管委会财经行为，落实经费使用审批“一支笔”制度，明确经费支出审批权限和责任，合理控制各项开支，根据国家及学校有关规定，结合余区管委会实际，制定本规定。</w:t>
      </w:r>
    </w:p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一、经费支出审批实行“分类管理、逐级审批、分级负责”的管理制度。</w:t>
      </w:r>
    </w:p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二、“财务一支笔”原则。余区管委会严格按照“一支笔”原则确定管委会主任为经费支出审批人，并报学校财务处备案（含负责人签字模版）。</w:t>
      </w:r>
    </w:p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三、分级审批原则。各项经费支出的审批人应根据支出性质和支出额度实行分级审批。</w:t>
      </w:r>
    </w:p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四、“谁主管、谁审批、谁负责”原则。审批人应根据各自的职责分工和所授权限，在授权范围内进行审批，不得越权审批。</w:t>
      </w:r>
    </w:p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7" w:firstLineChars="196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五、回避原则。审批人不能审批本人、配偶、直系亲属经办的经费支出业务。审批人本人或其配偶、直系亲属经办其审批范围内的经费支出事项，应根据具体情况由其他相关审批负责人审批。</w:t>
      </w:r>
    </w:p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六、经费支出或借款审批权限见下表：</w:t>
      </w:r>
    </w:p>
    <w:tbl>
      <w:tblPr>
        <w:tblStyle w:val="5"/>
        <w:tblW w:w="829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620"/>
        <w:gridCol w:w="2700"/>
        <w:gridCol w:w="2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  <w:t>资金类型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  <w:t>单笔业务资金支出金额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  <w:t>预算资金管理与审批权限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教育事业经费</w:t>
            </w:r>
          </w:p>
        </w:tc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职能部门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20万以内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管委会主要负责人审批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20-100万元（含20万元）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班子成员集体讨论决定（附党政联席会的会议纪要），由管委会主要负责人审批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0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100万元以上（含100万元）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由管委会主要负责人审批后，报分管校领导审批</w:t>
            </w:r>
          </w:p>
        </w:tc>
      </w:tr>
    </w:tbl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七、审批人对审批经济事项的合规性、合理性、真实性和相关性负责，对经费的安全和使用效益负责。</w:t>
      </w:r>
    </w:p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八、审批人应按规定在对相关经济业务进行审核的基础上进行逐级审批，对不符合规定的经济事项应拒绝审批。</w:t>
      </w:r>
    </w:p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九、严格遵守财务规定，不得将支出金额化整为零，逃避审批和监督。</w:t>
      </w:r>
    </w:p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十、财务支出的内容要真实合规，并做到原始单据有经办人、验收人、负责人签字。</w:t>
      </w:r>
    </w:p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十一、涉及“三重一大”事项的严格执行学校“三重一大”相关规定。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6D3A5DCC-DDC9-414B-A141-B608C11F22B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09A7F0D-520E-4035-8089-3003A77C66F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1" w:name="_GoBack"/>
    <w:bookmarkEnd w:id="1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3NzI1MDQ4OTkwZDhjODFmYzk3NWFlNjE4YzY0NzUifQ=="/>
  </w:docVars>
  <w:rsids>
    <w:rsidRoot w:val="775348E4"/>
    <w:rsid w:val="22D772D1"/>
    <w:rsid w:val="69515ED4"/>
    <w:rsid w:val="7753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300" w:after="150" w:line="17" w:lineRule="atLeast"/>
      <w:jc w:val="left"/>
      <w:outlineLvl w:val="1"/>
    </w:pPr>
    <w:rPr>
      <w:rFonts w:hint="eastAsia" w:ascii="宋体" w:hAnsi="宋体" w:eastAsia="宋体" w:cs="Times New Roman"/>
      <w:b/>
      <w:kern w:val="0"/>
      <w:sz w:val="45"/>
      <w:szCs w:val="45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727</Words>
  <Characters>738</Characters>
  <Lines>0</Lines>
  <Paragraphs>0</Paragraphs>
  <TotalTime>1</TotalTime>
  <ScaleCrop>false</ScaleCrop>
  <LinksUpToDate>false</LinksUpToDate>
  <CharactersWithSpaces>738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2023-04-21T08:40:00Z</dcterms:created>
  <dc:creator>高恰</dc:creator>
  <cp:lastModifiedBy>高恰</cp:lastModifiedBy>
  <dcterms:modified xsi:type="dcterms:W3CDTF">2023-04-21T09:02:21Z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712357F171944717B619B2B30407BFDF_11</vt:lpwstr>
  </property>
</Properties>
</file>