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240" w:line="600" w:lineRule="exact"/>
        <w:textAlignment w:val="auto"/>
        <w:rPr>
          <w:rFonts w:hint="eastAsia" w:ascii="方正大标宋简体" w:hAnsi="方正大标宋简体" w:eastAsia="方正大标宋简体" w:cs="方正大标宋简体"/>
          <w:bCs w:val="0"/>
          <w:sz w:val="44"/>
          <w:szCs w:val="44"/>
        </w:rPr>
      </w:pPr>
      <w:bookmarkStart w:id="0" w:name="_Toc28934609"/>
      <w:bookmarkStart w:id="1" w:name="_Toc24203478"/>
      <w:bookmarkStart w:id="2" w:name="_Toc45460411"/>
      <w:r>
        <w:rPr>
          <w:rFonts w:hint="eastAsia" w:ascii="方正大标宋简体" w:hAnsi="方正大标宋简体" w:eastAsia="方正大标宋简体" w:cs="方正大标宋简体"/>
          <w:bCs w:val="0"/>
          <w:sz w:val="44"/>
          <w:szCs w:val="44"/>
        </w:rPr>
        <w:t>余区管委会工勤技能岗位评审（评议）</w:t>
      </w:r>
    </w:p>
    <w:p>
      <w:pPr>
        <w:pStyle w:val="2"/>
        <w:keepNext/>
        <w:keepLines/>
        <w:pageBreakBefore w:val="0"/>
        <w:widowControl w:val="0"/>
        <w:kinsoku/>
        <w:wordWrap/>
        <w:overflowPunct/>
        <w:topLinePunct w:val="0"/>
        <w:autoSpaceDE/>
        <w:autoSpaceDN/>
        <w:bidi w:val="0"/>
        <w:adjustRightInd/>
        <w:snapToGrid/>
        <w:spacing w:before="240" w:line="600" w:lineRule="exact"/>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bCs w:val="0"/>
          <w:sz w:val="44"/>
          <w:szCs w:val="44"/>
        </w:rPr>
        <w:t>实施细则</w:t>
      </w:r>
      <w:bookmarkEnd w:id="0"/>
      <w:bookmarkEnd w:id="1"/>
      <w:bookmarkEnd w:id="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为进一步完善和规范工勤技能岗位评审（评议）工作，根据《武汉理工大学工勤技能岗位评聘管理办法》(校人字〔2022〕48 号）文件精神，结合余区管委会实际，特制定本细则。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sz w:val="32"/>
          <w:szCs w:val="32"/>
        </w:rPr>
        <w:t>一、工勤技能岗位评聘原则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（一）</w:t>
      </w:r>
      <w:r>
        <w:rPr>
          <w:rFonts w:hint="eastAsia" w:ascii="方正仿宋_GB2312" w:hAnsi="方正仿宋_GB2312" w:eastAsia="方正仿宋_GB2312" w:cs="方正仿宋_GB2312"/>
          <w:sz w:val="32"/>
          <w:szCs w:val="32"/>
        </w:rPr>
        <w:t>公开、公平、公正；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（二）</w:t>
      </w:r>
      <w:r>
        <w:rPr>
          <w:rFonts w:hint="eastAsia" w:ascii="方正仿宋_GB2312" w:hAnsi="方正仿宋_GB2312" w:eastAsia="方正仿宋_GB2312" w:cs="方正仿宋_GB2312"/>
          <w:sz w:val="32"/>
          <w:szCs w:val="32"/>
        </w:rPr>
        <w:t>考聘分开、强化聘用；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（三）</w:t>
      </w:r>
      <w:r>
        <w:rPr>
          <w:rFonts w:hint="eastAsia" w:ascii="方正仿宋_GB2312" w:hAnsi="方正仿宋_GB2312" w:eastAsia="方正仿宋_GB2312" w:cs="方正仿宋_GB2312"/>
          <w:sz w:val="32"/>
          <w:szCs w:val="32"/>
        </w:rPr>
        <w:t>分类分级管理、择优聘用。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二、岗位设置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工勤技能岗位的设置分为初级工（工勤技能岗位五级）、中级工（工勤技能岗位四级）、高级工（工勤技能岗位三级）、 技师（工勤技能岗位二级）、高级技师（工勤技能岗位一级）。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三、评审组织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学校工勤人员的岗位类别及所属单位性质，成立余家头校区管理委员会评审（评议）组，具体负责余区管委会的工勤技能岗位评审（评议）工作。余区管委会主任任组长，余区管委会党委书记任副组长，成员由余区管委会其他处级干部和2名相关专家组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四、余家头校区管理委员会评审（评议）组职责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rPr>
        <w:t xml:space="preserve">根据学校设置的工勤技能岗位职数和聘用条件，制定岗位评审细则，聘用条件不低于学校规定的聘用条件，按要求报校工勤技能岗位聘用工作组备案；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（二）按照相应岗位评审条件，对申报人员进行资格和业绩核查；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（三）对申报技师岗位人员组织评审，对评审结果进行公示并受理申诉；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（四）对申报高级技师岗位人员进行评议，并向校工勤技能岗位聘用工作组推荐人选，对评议结果进行公示并受理申诉。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五、聘用条件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申报工勤技能岗位人员须遵纪守法、爱岗敬业，具有良好的职业道德和思想政治素质，技能水平高，业务能力强，认真履行本岗位工作职责，圆满完成工作任务，近3年年度考核和聘期考核均为合格及以上等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申报工勤技能岗位人员须通过湖北省机关事业单位工人技术等级考核并取得相应岗位资格证书。报考条件及要求参照湖北省机关事业单位工勤技能人员技术等级考核工作的通知要求执行。若无相应岗位空缺，可按照“退二晋一” 由余区管委会工勤技能岗位评审（评议）组推荐报考。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等级工（含初级工、中级工、高级工）的聘用条件为：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（1）通过湖北省机关事业单位工勤技能人员技术等级考核，取 得相应初级工、中级工、高级工资格证书；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（2）达到本岗位“应知应会”要求，能独立完成本岗位任务， 并能注重技术的自我提高；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（3）在本工种岗位上能起到技术支持作用，在技术革新等工作中发挥积极作用。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技师的聘用条件为：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（1）在高级工岗位上工作满5年，取得技师岗位资格的工种与现从事岗位的工种一致，工作年限满 25 年且本工种工作年限不低于5年或从事本工种工作年限满20年及以上；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（2）具有专科及以上学历。对工龄在30年（女职工 25 年）及以上者可放宽到高中、中专或技校学历；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（3）具有独特技术、技能专长和丰富的实践经验，能够解决本工种关键性技术难题，具有传授技艺和指导培训高、中级工的能力，且培养指导了技术工人。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高级技师的聘用条件为：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（1）在技师岗位上工作满5年，取得高级技师岗位资格的工种与现从事岗位的工种一致，工作年限满 30 年且本工种工作年限 不低于5年或从事本工种工作年限满25年及以上；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（2）具有专科及以上学历；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（3）具有独特技术、技能专长和丰富的实践经验，能够解决工作中的关键性技术、工艺方面的难题，并取得显著成绩和效益。具有传授技艺和指导培训技师的能力，且培养指导了技术工人；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（4）在正式期刊上发表1篇与本岗位工作相关论文或取得1项实用新型专利或撰写1篇与本岗位工作相关的总结报告（不少于2000字）。以上成果均以本人为第一作者或第一发明人。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技师、高级技师岗位在符合学校聘用条件的基础上，还必须满足评审（评议）组岗位评审条件。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 xml:space="preserve">满足学校技师岗位聘用条件，并获得市级及以上工勤技能竞赛金奖（或第一名）的可直接聘为技师。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满足学校高级技师岗位聘用条件，并获得省部级及以上工勤技能竞赛金奖（或第一名）的可直接聘为高级技师。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以上岗位均不占当年岗位职数。所参加的工勤技能竞赛须由政府部门或全国、省、市级总工会组织并有相应获奖证书。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工作年限、工种工作年限以档案记载为准，均计算到当年12月31日。各种业绩材料均要求任现职以来取得。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六、聘用程序及表决规则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（一）初级工、中级工、高级工的聘用程序如下：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资格考核。由学校组织参加湖北省机关事业单位工勤 人员初级工、中级工和高级工的技术等级考核并获得相应岗位资格证书；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 xml:space="preserve">个人申报。个人向余区管委会岗位聘用工作小组申报，填写工勤技能岗位聘用登记表，并提交相关证明材料；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3.单位审核。余区管委会岗位聘用工作小组按照学校规定的聘用条件对申报人及相关材料进行审核，审核合格的，提交工勤技能岗位聘用登记表到人事处；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4.学校聘用。根据学校工勤技能岗位职数设置情况以及 单位审核意见，由学校发文聘用。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（二）技师、高级技师聘用程序如下：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1.资格考核。由学校组织参加湖北省机关事业单位工勤 人员技师和高级技师的技术等级考核并获得相应岗位资格证书；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2.公布职数。根据学校技师、高级技师岗位职数设置情 况及学校实际，人事处公布当年用岗职数；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3.个人申报。个人向余区管委会岗位聘用工作小组申报，填写竞聘工勤技能岗位登记表、</w:t>
      </w:r>
      <w:r>
        <w:rPr>
          <w:rFonts w:hint="eastAsia" w:ascii="方正仿宋_GB2312" w:hAnsi="方正仿宋_GB2312" w:eastAsia="方正仿宋_GB2312" w:cs="方正仿宋_GB2312"/>
          <w:kern w:val="0"/>
          <w:sz w:val="32"/>
          <w:szCs w:val="32"/>
        </w:rPr>
        <w:t>《余区管委会工人技师评聘综合量化自评表》（附件2）</w:t>
      </w:r>
      <w:r>
        <w:rPr>
          <w:rFonts w:hint="eastAsia" w:ascii="方正仿宋_GB2312" w:hAnsi="方正仿宋_GB2312" w:eastAsia="方正仿宋_GB2312" w:cs="方正仿宋_GB2312"/>
          <w:sz w:val="32"/>
          <w:szCs w:val="32"/>
        </w:rPr>
        <w:t xml:space="preserve">，并提交相关证明材料和业绩材料；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4.单位审核。余区管委会岗位聘用工作小组负责审核报名人资格和材料，审核合格的，提交竞聘工勤技能岗位报名汇总表到人事处；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 余区管委会岗位聘用工作小组推荐：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（1）余区管委会岗位聘用工作小组反馈人事处审核结果；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2）召开余区管委会工勤技能岗位评审会，个人向余区管委会岗位聘用工作小组述职，在听取述职基础上，结合个人综合条件、工作表现和业绩，对申报人进行无记名打分。述职评审满分为8分，记分时去除一个最高分、一个最低分，余下取其平均值计入；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（3）余区管委会岗位聘用工作小组审核、审定申报人</w:t>
      </w:r>
      <w:r>
        <w:rPr>
          <w:rFonts w:hint="eastAsia" w:ascii="方正仿宋_GB2312" w:hAnsi="方正仿宋_GB2312" w:eastAsia="方正仿宋_GB2312" w:cs="方正仿宋_GB2312"/>
          <w:kern w:val="0"/>
          <w:sz w:val="32"/>
          <w:szCs w:val="32"/>
        </w:rPr>
        <w:t>《余区管委会工人技师评聘综合量化自评表》（附件2）得分情况，</w:t>
      </w:r>
      <w:r>
        <w:rPr>
          <w:rFonts w:hint="eastAsia" w:ascii="方正仿宋_GB2312" w:hAnsi="方正仿宋_GB2312" w:eastAsia="方正仿宋_GB2312" w:cs="方正仿宋_GB2312"/>
          <w:sz w:val="32"/>
          <w:szCs w:val="32"/>
        </w:rPr>
        <w:t>申报人最终得分=综合量化得分+述职评审得分。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（4）余区管委会岗位聘用工作小组根据个人述职、工作情况、工作业绩、最终得分情况，以无记名票决方式排序推荐；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（5）推荐结果按指标数（1:2）顺位在本单位公示（公示期3个工作日，公示内容包括排序推荐的名单和竞聘工勤技能岗位登记表），并受理申诉；申诉查实后顺位递补。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6.余区管委会工勤技能岗位评审（评议）组评审：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（1）对推荐人员进行资格和业绩条件审核；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（2）按照学校聘用条件和《余区管委会工勤技能岗位评审（评议）细则》，对推荐人员进行评审，确定拟聘用技师名单；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（3）向校工勤技能岗位聘用工作组排序推荐高级技师人选；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（4）对评审和推荐结果进行公示（公示期 3个工作日，公示内容包括拟聘用技师名单、推荐高级技师名单和竞聘工勤技能岗位登记表），并受理申诉；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（5）向校工勤技能岗位聘用工作组提交竞聘工勤技能岗位推荐汇总表、竞聘工勤技能岗位登记表、个人相关证明材料和业绩材料；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7.学校审定。校工勤技能岗位聘用工作组审定技师评审 结果、对高级技师人选进行差额评审，对聘用结果进行公示（公示期为5个工作日，公示内容包括拟聘用技师、高级技师名单及竞聘工勤技能岗位登记表），并受理申诉；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8.学校发文聘用。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七、工勤技能岗位评审（评议）组表决规则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（一）与会人数必须达到工勤技能岗位评审（评议）组全体成员的 2/3 方为有效；同意票超过与会成员的1/2为通过；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（二）采取无记名投票方式进行表决，每一张表决票的同意票不得超过规定的岗位数，否则视为废票；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（三）通过人数等于岗位数时，评审（评议）结束；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通过人数多于岗位数时，根据同意票数多少排序取舍；排序靠后者得票相同，且超过岗位数时，对得同意票数相同者重新表决，重新表决需达到正常票数方为通过，结果只作为取舍的依据，其得票情况及通过的轮次以第一次表决的结果为准（此种表决持续至岗位满时为止）；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通过人数少于岗位数时，进行第二轮表决。人员数取空余岗位数的1.5倍，人员按未通过者中由高票到低票的顺序决定；排序靠后者得票数相同时，得相同票数者一并进入表决程序；表决通过人员的通过轮次及得票数按当轮通过时的状况计。第三轮表决比照第二轮表决进行，以此类推。表决总数不超过三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八、回避和纪律要求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lang w:eastAsia="zh-CN"/>
        </w:rPr>
        <w:t>（一）</w:t>
      </w:r>
      <w:r>
        <w:rPr>
          <w:rFonts w:hint="eastAsia" w:ascii="方正仿宋_GB2312" w:hAnsi="方正仿宋_GB2312" w:eastAsia="方正仿宋_GB2312" w:cs="方正仿宋_GB2312"/>
          <w:sz w:val="32"/>
          <w:szCs w:val="32"/>
        </w:rPr>
        <w:t>为确保工勤技能岗位评聘的公正、公平，评聘实施回避制度。各工勤技能岗位评审（评议）组成员如遇到与本人有夫妻关系、直系血亲关系或其他可能影响评聘公平公正的关系的评聘对象，应予回避，不参加相应岗位的评议和表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（二）近5年内有下列情况之一者，不得申报晋升工勤 技能岗位：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1.违反国家法律法规或党纪、校规，造成一定影响；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2.非法滋事，扰乱公共秩序，影响学校稳定；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3.工作失职或有责任事故；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4.伪造学历、工作经历、成果或虚报技术竞赛奖、技术 荣誉称号等。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（三）在工勤技能岗位评聘过程中违反评聘纪律的，从确定之日起，3年内不能参加工勤技能岗位竞聘。已聘用的， 予以解聘，并从解聘的下月起不再享受相关工资待遇，重新确定 岗位后比照同类条件人员重新确定工资待遇。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rPr>
        <w:t>附件</w:t>
      </w:r>
      <w:r>
        <w:rPr>
          <w:rFonts w:hint="eastAsia" w:ascii="方正仿宋_GB2312" w:hAnsi="方正仿宋_GB2312" w:eastAsia="方正仿宋_GB2312" w:cs="方正仿宋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1.余区管委会工人技师评聘综合量化计分标准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2.余区管委会工人技师评聘综合量化自评表</w:t>
      </w:r>
    </w:p>
    <w:p>
      <w:pPr>
        <w:jc w:val="left"/>
        <w:rPr>
          <w:rFonts w:ascii="宋体" w:hAnsi="宋体" w:eastAsia="宋体" w:cs="宋体"/>
          <w:sz w:val="36"/>
          <w:szCs w:val="32"/>
        </w:rPr>
      </w:pPr>
      <w:bookmarkStart w:id="3" w:name="_Toc24203479"/>
    </w:p>
    <w:p>
      <w:pPr>
        <w:jc w:val="left"/>
        <w:rPr>
          <w:rFonts w:ascii="宋体" w:hAnsi="宋体" w:eastAsia="宋体" w:cs="宋体"/>
          <w:sz w:val="36"/>
          <w:szCs w:val="32"/>
        </w:rPr>
      </w:pPr>
    </w:p>
    <w:p>
      <w:pPr>
        <w:jc w:val="left"/>
        <w:rPr>
          <w:rFonts w:ascii="宋体" w:hAnsi="宋体" w:eastAsia="宋体" w:cs="宋体"/>
          <w:sz w:val="36"/>
          <w:szCs w:val="32"/>
        </w:rPr>
      </w:pPr>
    </w:p>
    <w:p>
      <w:pPr>
        <w:jc w:val="left"/>
        <w:rPr>
          <w:rFonts w:ascii="宋体" w:hAnsi="宋体" w:eastAsia="宋体" w:cs="宋体"/>
          <w:sz w:val="36"/>
          <w:szCs w:val="32"/>
        </w:rPr>
      </w:pPr>
    </w:p>
    <w:p>
      <w:pPr>
        <w:jc w:val="left"/>
        <w:rPr>
          <w:rFonts w:ascii="宋体" w:hAnsi="宋体" w:eastAsia="宋体" w:cs="宋体"/>
          <w:sz w:val="36"/>
          <w:szCs w:val="32"/>
        </w:rPr>
      </w:pPr>
    </w:p>
    <w:p>
      <w:pPr>
        <w:jc w:val="left"/>
        <w:rPr>
          <w:rFonts w:ascii="宋体" w:hAnsi="宋体" w:eastAsia="宋体" w:cs="宋体"/>
          <w:sz w:val="36"/>
          <w:szCs w:val="32"/>
        </w:rPr>
      </w:pPr>
    </w:p>
    <w:p>
      <w:pPr>
        <w:jc w:val="left"/>
        <w:rPr>
          <w:rFonts w:ascii="宋体" w:hAnsi="宋体" w:eastAsia="宋体" w:cs="宋体"/>
          <w:sz w:val="36"/>
          <w:szCs w:val="32"/>
        </w:rPr>
      </w:pPr>
    </w:p>
    <w:p>
      <w:pPr>
        <w:jc w:val="left"/>
        <w:rPr>
          <w:rFonts w:ascii="宋体" w:hAnsi="宋体" w:eastAsia="宋体" w:cs="宋体"/>
          <w:sz w:val="28"/>
          <w:szCs w:val="24"/>
        </w:rPr>
      </w:pPr>
      <w:r>
        <w:rPr>
          <w:rFonts w:hint="eastAsia" w:ascii="宋体" w:hAnsi="宋体" w:eastAsia="宋体" w:cs="宋体"/>
          <w:sz w:val="28"/>
          <w:szCs w:val="24"/>
        </w:rPr>
        <w:t>附件1：</w:t>
      </w:r>
    </w:p>
    <w:p>
      <w:pPr>
        <w:spacing w:after="159" w:afterLines="50"/>
        <w:jc w:val="center"/>
        <w:rPr>
          <w:rFonts w:ascii="宋体" w:hAnsi="宋体" w:eastAsia="宋体" w:cs="宋体"/>
          <w:b/>
          <w:sz w:val="36"/>
          <w:szCs w:val="36"/>
        </w:rPr>
      </w:pPr>
      <w:r>
        <w:rPr>
          <w:rFonts w:hint="eastAsia" w:ascii="黑体" w:hAnsi="黑体" w:eastAsia="黑体" w:cs="黑体"/>
          <w:b/>
          <w:sz w:val="36"/>
          <w:szCs w:val="36"/>
        </w:rPr>
        <w:t>余区管委会工人技师评聘综合量化计分标准</w:t>
      </w:r>
      <w:bookmarkEnd w:id="3"/>
    </w:p>
    <w:tbl>
      <w:tblPr>
        <w:tblStyle w:val="5"/>
        <w:tblW w:w="5000" w:type="pct"/>
        <w:jc w:val="center"/>
        <w:tblLayout w:type="autofit"/>
        <w:tblCellMar>
          <w:top w:w="0" w:type="dxa"/>
          <w:left w:w="108" w:type="dxa"/>
          <w:bottom w:w="0" w:type="dxa"/>
          <w:right w:w="108" w:type="dxa"/>
        </w:tblCellMar>
      </w:tblPr>
      <w:tblGrid>
        <w:gridCol w:w="1328"/>
        <w:gridCol w:w="2153"/>
        <w:gridCol w:w="1759"/>
        <w:gridCol w:w="1640"/>
        <w:gridCol w:w="1642"/>
      </w:tblGrid>
      <w:tr>
        <w:tblPrEx>
          <w:tblCellMar>
            <w:top w:w="0" w:type="dxa"/>
            <w:left w:w="108" w:type="dxa"/>
            <w:bottom w:w="0" w:type="dxa"/>
            <w:right w:w="108" w:type="dxa"/>
          </w:tblCellMar>
        </w:tblPrEx>
        <w:trPr>
          <w:cantSplit/>
          <w:trHeight w:val="454"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sz w:val="22"/>
                <w:szCs w:val="24"/>
              </w:rPr>
            </w:pPr>
            <w:r>
              <w:rPr>
                <w:rFonts w:hint="eastAsia" w:ascii="宋体" w:hAnsi="宋体" w:eastAsia="宋体" w:cs="宋体"/>
                <w:b/>
                <w:sz w:val="22"/>
                <w:szCs w:val="24"/>
              </w:rPr>
              <w:t>项目</w:t>
            </w:r>
          </w:p>
        </w:tc>
        <w:tc>
          <w:tcPr>
            <w:tcW w:w="1263"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b/>
                <w:sz w:val="22"/>
                <w:szCs w:val="24"/>
              </w:rPr>
            </w:pPr>
            <w:r>
              <w:rPr>
                <w:rFonts w:hint="eastAsia" w:ascii="宋体" w:hAnsi="宋体" w:eastAsia="宋体" w:cs="宋体"/>
                <w:b/>
                <w:sz w:val="22"/>
                <w:szCs w:val="24"/>
              </w:rPr>
              <w:t>级别</w:t>
            </w:r>
          </w:p>
        </w:tc>
        <w:tc>
          <w:tcPr>
            <w:tcW w:w="1994" w:type="pct"/>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b/>
                <w:sz w:val="22"/>
                <w:szCs w:val="24"/>
              </w:rPr>
            </w:pPr>
            <w:r>
              <w:rPr>
                <w:rFonts w:hint="eastAsia" w:ascii="宋体" w:hAnsi="宋体" w:eastAsia="宋体" w:cs="宋体"/>
                <w:b/>
                <w:sz w:val="22"/>
                <w:szCs w:val="24"/>
              </w:rPr>
              <w:t>荣誉及获奖情况</w:t>
            </w:r>
          </w:p>
        </w:tc>
        <w:tc>
          <w:tcPr>
            <w:tcW w:w="962"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b/>
                <w:sz w:val="22"/>
                <w:szCs w:val="24"/>
              </w:rPr>
            </w:pPr>
            <w:r>
              <w:rPr>
                <w:rFonts w:hint="eastAsia" w:ascii="宋体" w:hAnsi="宋体" w:eastAsia="宋体" w:cs="宋体"/>
                <w:b/>
                <w:sz w:val="22"/>
                <w:szCs w:val="24"/>
              </w:rPr>
              <w:t>积分</w:t>
            </w:r>
          </w:p>
        </w:tc>
      </w:tr>
      <w:tr>
        <w:tblPrEx>
          <w:tblCellMar>
            <w:top w:w="0" w:type="dxa"/>
            <w:left w:w="108" w:type="dxa"/>
            <w:bottom w:w="0" w:type="dxa"/>
            <w:right w:w="108" w:type="dxa"/>
          </w:tblCellMar>
        </w:tblPrEx>
        <w:trPr>
          <w:cantSplit/>
          <w:trHeight w:val="454" w:hRule="atLeast"/>
          <w:jc w:val="center"/>
        </w:trPr>
        <w:tc>
          <w:tcPr>
            <w:tcW w:w="779" w:type="pct"/>
            <w:vMerge w:val="restart"/>
            <w:tcBorders>
              <w:top w:val="nil"/>
              <w:left w:val="single" w:color="auto" w:sz="4" w:space="0"/>
              <w:bottom w:val="single" w:color="auto" w:sz="4" w:space="0"/>
              <w:right w:val="single" w:color="auto" w:sz="4" w:space="0"/>
            </w:tcBorders>
            <w:textDirection w:val="tbRlV"/>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先进奖励分</w:t>
            </w:r>
          </w:p>
        </w:tc>
        <w:tc>
          <w:tcPr>
            <w:tcW w:w="1263"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国家级</w:t>
            </w:r>
          </w:p>
        </w:tc>
        <w:tc>
          <w:tcPr>
            <w:tcW w:w="1994" w:type="pct"/>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荣誉称号获得者</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10分</w:t>
            </w:r>
          </w:p>
        </w:tc>
      </w:tr>
      <w:tr>
        <w:tblPrEx>
          <w:tblCellMar>
            <w:top w:w="0" w:type="dxa"/>
            <w:left w:w="108" w:type="dxa"/>
            <w:bottom w:w="0" w:type="dxa"/>
            <w:right w:w="108" w:type="dxa"/>
          </w:tblCellMar>
        </w:tblPrEx>
        <w:trPr>
          <w:cantSplit/>
          <w:trHeight w:val="454" w:hRule="atLeast"/>
          <w:jc w:val="center"/>
        </w:trPr>
        <w:tc>
          <w:tcPr>
            <w:tcW w:w="7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26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省部级</w:t>
            </w:r>
          </w:p>
        </w:tc>
        <w:tc>
          <w:tcPr>
            <w:tcW w:w="1994" w:type="pct"/>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荣誉称号获得者</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6分</w:t>
            </w:r>
          </w:p>
        </w:tc>
      </w:tr>
      <w:tr>
        <w:tblPrEx>
          <w:tblCellMar>
            <w:top w:w="0" w:type="dxa"/>
            <w:left w:w="108" w:type="dxa"/>
            <w:bottom w:w="0" w:type="dxa"/>
            <w:right w:w="108" w:type="dxa"/>
          </w:tblCellMar>
        </w:tblPrEx>
        <w:trPr>
          <w:cantSplit/>
          <w:trHeight w:val="454" w:hRule="atLeast"/>
          <w:jc w:val="center"/>
        </w:trPr>
        <w:tc>
          <w:tcPr>
            <w:tcW w:w="7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2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994" w:type="pct"/>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单项先进获得者</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3分</w:t>
            </w:r>
          </w:p>
        </w:tc>
      </w:tr>
      <w:tr>
        <w:tblPrEx>
          <w:tblCellMar>
            <w:top w:w="0" w:type="dxa"/>
            <w:left w:w="108" w:type="dxa"/>
            <w:bottom w:w="0" w:type="dxa"/>
            <w:right w:w="108" w:type="dxa"/>
          </w:tblCellMar>
        </w:tblPrEx>
        <w:trPr>
          <w:cantSplit/>
          <w:trHeight w:val="454" w:hRule="atLeast"/>
          <w:jc w:val="center"/>
        </w:trPr>
        <w:tc>
          <w:tcPr>
            <w:tcW w:w="7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26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省高工委、省教育厅</w:t>
            </w:r>
          </w:p>
        </w:tc>
        <w:tc>
          <w:tcPr>
            <w:tcW w:w="1994" w:type="pct"/>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荣誉称号获得者</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4分</w:t>
            </w:r>
          </w:p>
        </w:tc>
      </w:tr>
      <w:tr>
        <w:tblPrEx>
          <w:tblCellMar>
            <w:top w:w="0" w:type="dxa"/>
            <w:left w:w="108" w:type="dxa"/>
            <w:bottom w:w="0" w:type="dxa"/>
            <w:right w:w="108" w:type="dxa"/>
          </w:tblCellMar>
        </w:tblPrEx>
        <w:trPr>
          <w:cantSplit/>
          <w:trHeight w:val="454" w:hRule="atLeast"/>
          <w:jc w:val="center"/>
        </w:trPr>
        <w:tc>
          <w:tcPr>
            <w:tcW w:w="7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2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994" w:type="pct"/>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单项先进获得者</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2分</w:t>
            </w:r>
          </w:p>
        </w:tc>
      </w:tr>
      <w:tr>
        <w:tblPrEx>
          <w:tblCellMar>
            <w:top w:w="0" w:type="dxa"/>
            <w:left w:w="108" w:type="dxa"/>
            <w:bottom w:w="0" w:type="dxa"/>
            <w:right w:w="108" w:type="dxa"/>
          </w:tblCellMar>
        </w:tblPrEx>
        <w:trPr>
          <w:cantSplit/>
          <w:trHeight w:val="454" w:hRule="atLeast"/>
          <w:jc w:val="center"/>
        </w:trPr>
        <w:tc>
          <w:tcPr>
            <w:tcW w:w="7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26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市级</w:t>
            </w:r>
          </w:p>
        </w:tc>
        <w:tc>
          <w:tcPr>
            <w:tcW w:w="1994" w:type="pct"/>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荣誉称号获得者</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3分</w:t>
            </w:r>
          </w:p>
        </w:tc>
      </w:tr>
      <w:tr>
        <w:tblPrEx>
          <w:tblCellMar>
            <w:top w:w="0" w:type="dxa"/>
            <w:left w:w="108" w:type="dxa"/>
            <w:bottom w:w="0" w:type="dxa"/>
            <w:right w:w="108" w:type="dxa"/>
          </w:tblCellMar>
        </w:tblPrEx>
        <w:trPr>
          <w:cantSplit/>
          <w:trHeight w:val="454" w:hRule="atLeast"/>
          <w:jc w:val="center"/>
        </w:trPr>
        <w:tc>
          <w:tcPr>
            <w:tcW w:w="7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2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994" w:type="pct"/>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单项先进获得者</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1分</w:t>
            </w:r>
          </w:p>
        </w:tc>
      </w:tr>
      <w:tr>
        <w:tblPrEx>
          <w:tblCellMar>
            <w:top w:w="0" w:type="dxa"/>
            <w:left w:w="108" w:type="dxa"/>
            <w:bottom w:w="0" w:type="dxa"/>
            <w:right w:w="108" w:type="dxa"/>
          </w:tblCellMar>
        </w:tblPrEx>
        <w:trPr>
          <w:cantSplit/>
          <w:trHeight w:val="454" w:hRule="atLeast"/>
          <w:jc w:val="center"/>
        </w:trPr>
        <w:tc>
          <w:tcPr>
            <w:tcW w:w="7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26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校级</w:t>
            </w:r>
          </w:p>
        </w:tc>
        <w:tc>
          <w:tcPr>
            <w:tcW w:w="1994" w:type="pct"/>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荣誉称号获得者</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2分</w:t>
            </w:r>
          </w:p>
        </w:tc>
      </w:tr>
      <w:tr>
        <w:tblPrEx>
          <w:tblCellMar>
            <w:top w:w="0" w:type="dxa"/>
            <w:left w:w="108" w:type="dxa"/>
            <w:bottom w:w="0" w:type="dxa"/>
            <w:right w:w="108" w:type="dxa"/>
          </w:tblCellMar>
        </w:tblPrEx>
        <w:trPr>
          <w:cantSplit/>
          <w:trHeight w:val="454" w:hRule="atLeast"/>
          <w:jc w:val="center"/>
        </w:trPr>
        <w:tc>
          <w:tcPr>
            <w:tcW w:w="7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2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994" w:type="pct"/>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单项先进获得者</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0.2分</w:t>
            </w:r>
          </w:p>
        </w:tc>
      </w:tr>
      <w:tr>
        <w:tblPrEx>
          <w:tblCellMar>
            <w:top w:w="0" w:type="dxa"/>
            <w:left w:w="108" w:type="dxa"/>
            <w:bottom w:w="0" w:type="dxa"/>
            <w:right w:w="108" w:type="dxa"/>
          </w:tblCellMar>
        </w:tblPrEx>
        <w:trPr>
          <w:cantSplit/>
          <w:trHeight w:val="454" w:hRule="atLeast"/>
          <w:jc w:val="center"/>
        </w:trPr>
        <w:tc>
          <w:tcPr>
            <w:tcW w:w="7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263" w:type="pct"/>
            <w:vMerge w:val="restart"/>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区级政府（党委）</w:t>
            </w:r>
          </w:p>
        </w:tc>
        <w:tc>
          <w:tcPr>
            <w:tcW w:w="1994" w:type="pct"/>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荣誉称号获得者</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0.5分</w:t>
            </w:r>
          </w:p>
        </w:tc>
      </w:tr>
      <w:tr>
        <w:tblPrEx>
          <w:tblCellMar>
            <w:top w:w="0" w:type="dxa"/>
            <w:left w:w="108" w:type="dxa"/>
            <w:bottom w:w="0" w:type="dxa"/>
            <w:right w:w="108" w:type="dxa"/>
          </w:tblCellMar>
        </w:tblPrEx>
        <w:trPr>
          <w:cantSplit/>
          <w:trHeight w:val="454" w:hRule="atLeast"/>
          <w:jc w:val="center"/>
        </w:trPr>
        <w:tc>
          <w:tcPr>
            <w:tcW w:w="7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263"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sz w:val="22"/>
                <w:szCs w:val="24"/>
              </w:rPr>
            </w:pPr>
          </w:p>
        </w:tc>
        <w:tc>
          <w:tcPr>
            <w:tcW w:w="1994" w:type="pct"/>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单项先进获得者</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0.2分</w:t>
            </w:r>
          </w:p>
        </w:tc>
      </w:tr>
      <w:tr>
        <w:tblPrEx>
          <w:tblCellMar>
            <w:top w:w="0" w:type="dxa"/>
            <w:left w:w="108" w:type="dxa"/>
            <w:bottom w:w="0" w:type="dxa"/>
            <w:right w:w="108" w:type="dxa"/>
          </w:tblCellMar>
        </w:tblPrEx>
        <w:trPr>
          <w:cantSplit/>
          <w:trHeight w:val="454" w:hRule="atLeast"/>
          <w:jc w:val="center"/>
        </w:trPr>
        <w:tc>
          <w:tcPr>
            <w:tcW w:w="779" w:type="pct"/>
            <w:vMerge w:val="restart"/>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业务技能、课题（论文）获奖分</w:t>
            </w:r>
          </w:p>
        </w:tc>
        <w:tc>
          <w:tcPr>
            <w:tcW w:w="1263"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国家级</w:t>
            </w:r>
          </w:p>
        </w:tc>
        <w:tc>
          <w:tcPr>
            <w:tcW w:w="103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一等奖：4分</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二等奖：3分</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三等奖：2分</w:t>
            </w:r>
          </w:p>
        </w:tc>
      </w:tr>
      <w:tr>
        <w:tblPrEx>
          <w:tblCellMar>
            <w:top w:w="0" w:type="dxa"/>
            <w:left w:w="108" w:type="dxa"/>
            <w:bottom w:w="0" w:type="dxa"/>
            <w:right w:w="108" w:type="dxa"/>
          </w:tblCellMar>
        </w:tblPrEx>
        <w:trPr>
          <w:cantSplit/>
          <w:trHeight w:val="454" w:hRule="atLeast"/>
          <w:jc w:val="center"/>
        </w:trPr>
        <w:tc>
          <w:tcPr>
            <w:tcW w:w="7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263"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跨省、地区级</w:t>
            </w:r>
          </w:p>
        </w:tc>
        <w:tc>
          <w:tcPr>
            <w:tcW w:w="103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一等奖：3分</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二等奖：2分</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三等奖：1分</w:t>
            </w:r>
          </w:p>
        </w:tc>
      </w:tr>
      <w:tr>
        <w:tblPrEx>
          <w:tblCellMar>
            <w:top w:w="0" w:type="dxa"/>
            <w:left w:w="108" w:type="dxa"/>
            <w:bottom w:w="0" w:type="dxa"/>
            <w:right w:w="108" w:type="dxa"/>
          </w:tblCellMar>
        </w:tblPrEx>
        <w:trPr>
          <w:cantSplit/>
          <w:trHeight w:val="454" w:hRule="atLeast"/>
          <w:jc w:val="center"/>
        </w:trPr>
        <w:tc>
          <w:tcPr>
            <w:tcW w:w="7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263"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省、市级</w:t>
            </w:r>
          </w:p>
        </w:tc>
        <w:tc>
          <w:tcPr>
            <w:tcW w:w="103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一等奖：2分</w:t>
            </w:r>
          </w:p>
        </w:tc>
        <w:tc>
          <w:tcPr>
            <w:tcW w:w="962" w:type="pct"/>
            <w:tcBorders>
              <w:top w:val="nil"/>
              <w:left w:val="nil"/>
              <w:bottom w:val="single" w:color="auto" w:sz="4" w:space="0"/>
              <w:right w:val="single" w:color="auto" w:sz="4" w:space="0"/>
            </w:tcBorders>
            <w:vAlign w:val="center"/>
          </w:tcPr>
          <w:p>
            <w:pPr>
              <w:adjustRightInd w:val="0"/>
              <w:snapToGrid w:val="0"/>
              <w:ind w:left="-13" w:leftChars="-65" w:hanging="123" w:hangingChars="56"/>
              <w:jc w:val="center"/>
              <w:rPr>
                <w:rFonts w:ascii="宋体" w:hAnsi="宋体" w:eastAsia="宋体" w:cs="宋体"/>
                <w:sz w:val="22"/>
                <w:szCs w:val="24"/>
              </w:rPr>
            </w:pPr>
            <w:r>
              <w:rPr>
                <w:rFonts w:hint="eastAsia" w:ascii="宋体" w:hAnsi="宋体" w:eastAsia="宋体" w:cs="宋体"/>
                <w:sz w:val="22"/>
                <w:szCs w:val="24"/>
              </w:rPr>
              <w:t>二等奖：1.5分</w:t>
            </w:r>
          </w:p>
        </w:tc>
        <w:tc>
          <w:tcPr>
            <w:tcW w:w="962" w:type="pct"/>
            <w:tcBorders>
              <w:top w:val="nil"/>
              <w:left w:val="nil"/>
              <w:bottom w:val="single" w:color="auto" w:sz="4" w:space="0"/>
              <w:right w:val="single" w:color="auto" w:sz="4" w:space="0"/>
            </w:tcBorders>
            <w:vAlign w:val="center"/>
          </w:tcPr>
          <w:p>
            <w:pPr>
              <w:adjustRightInd w:val="0"/>
              <w:snapToGrid w:val="0"/>
              <w:ind w:left="-13" w:leftChars="-65" w:hanging="123" w:hangingChars="56"/>
              <w:jc w:val="center"/>
              <w:rPr>
                <w:rFonts w:ascii="宋体" w:hAnsi="宋体" w:eastAsia="宋体" w:cs="宋体"/>
                <w:sz w:val="22"/>
                <w:szCs w:val="24"/>
              </w:rPr>
            </w:pPr>
            <w:r>
              <w:rPr>
                <w:rFonts w:hint="eastAsia" w:ascii="宋体" w:hAnsi="宋体" w:eastAsia="宋体" w:cs="宋体"/>
                <w:sz w:val="22"/>
                <w:szCs w:val="24"/>
              </w:rPr>
              <w:t>三等奖：1分</w:t>
            </w:r>
          </w:p>
        </w:tc>
      </w:tr>
      <w:tr>
        <w:tblPrEx>
          <w:tblCellMar>
            <w:top w:w="0" w:type="dxa"/>
            <w:left w:w="108" w:type="dxa"/>
            <w:bottom w:w="0" w:type="dxa"/>
            <w:right w:w="108" w:type="dxa"/>
          </w:tblCellMar>
        </w:tblPrEx>
        <w:trPr>
          <w:cantSplit/>
          <w:trHeight w:val="454" w:hRule="atLeast"/>
          <w:jc w:val="center"/>
        </w:trPr>
        <w:tc>
          <w:tcPr>
            <w:tcW w:w="7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263"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区、校级</w:t>
            </w:r>
          </w:p>
        </w:tc>
        <w:tc>
          <w:tcPr>
            <w:tcW w:w="103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一等奖：1分</w:t>
            </w:r>
          </w:p>
        </w:tc>
        <w:tc>
          <w:tcPr>
            <w:tcW w:w="962" w:type="pct"/>
            <w:tcBorders>
              <w:top w:val="nil"/>
              <w:left w:val="nil"/>
              <w:bottom w:val="single" w:color="auto" w:sz="4" w:space="0"/>
              <w:right w:val="single" w:color="auto" w:sz="4" w:space="0"/>
            </w:tcBorders>
            <w:vAlign w:val="center"/>
          </w:tcPr>
          <w:p>
            <w:pPr>
              <w:adjustRightInd w:val="0"/>
              <w:snapToGrid w:val="0"/>
              <w:ind w:left="-13" w:leftChars="-65" w:hanging="123" w:hangingChars="56"/>
              <w:jc w:val="center"/>
              <w:rPr>
                <w:rFonts w:ascii="宋体" w:hAnsi="宋体" w:eastAsia="宋体" w:cs="宋体"/>
                <w:sz w:val="22"/>
                <w:szCs w:val="24"/>
              </w:rPr>
            </w:pPr>
            <w:r>
              <w:rPr>
                <w:rFonts w:hint="eastAsia" w:ascii="宋体" w:hAnsi="宋体" w:eastAsia="宋体" w:cs="宋体"/>
                <w:sz w:val="22"/>
                <w:szCs w:val="24"/>
              </w:rPr>
              <w:t>二等奖：0.5分</w:t>
            </w:r>
          </w:p>
        </w:tc>
        <w:tc>
          <w:tcPr>
            <w:tcW w:w="962" w:type="pct"/>
            <w:tcBorders>
              <w:top w:val="nil"/>
              <w:left w:val="nil"/>
              <w:bottom w:val="single" w:color="auto" w:sz="4" w:space="0"/>
              <w:right w:val="single" w:color="auto" w:sz="4" w:space="0"/>
            </w:tcBorders>
            <w:vAlign w:val="center"/>
          </w:tcPr>
          <w:p>
            <w:pPr>
              <w:adjustRightInd w:val="0"/>
              <w:snapToGrid w:val="0"/>
              <w:ind w:left="-13" w:leftChars="-65" w:hanging="123" w:hangingChars="56"/>
              <w:jc w:val="center"/>
              <w:rPr>
                <w:rFonts w:ascii="宋体" w:hAnsi="宋体" w:eastAsia="宋体" w:cs="宋体"/>
                <w:sz w:val="22"/>
                <w:szCs w:val="24"/>
              </w:rPr>
            </w:pPr>
            <w:r>
              <w:rPr>
                <w:rFonts w:hint="eastAsia" w:ascii="宋体" w:hAnsi="宋体" w:eastAsia="宋体" w:cs="宋体"/>
                <w:sz w:val="22"/>
                <w:szCs w:val="24"/>
              </w:rPr>
              <w:t>三等奖：0.3分</w:t>
            </w:r>
          </w:p>
        </w:tc>
      </w:tr>
      <w:tr>
        <w:tblPrEx>
          <w:tblCellMar>
            <w:top w:w="0" w:type="dxa"/>
            <w:left w:w="108" w:type="dxa"/>
            <w:bottom w:w="0" w:type="dxa"/>
            <w:right w:w="108" w:type="dxa"/>
          </w:tblCellMar>
        </w:tblPrEx>
        <w:trPr>
          <w:cantSplit/>
          <w:trHeight w:val="454" w:hRule="atLeast"/>
          <w:jc w:val="center"/>
        </w:trPr>
        <w:tc>
          <w:tcPr>
            <w:tcW w:w="779" w:type="pct"/>
            <w:vMerge w:val="restart"/>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专利获奖分</w:t>
            </w:r>
          </w:p>
        </w:tc>
        <w:tc>
          <w:tcPr>
            <w:tcW w:w="1263"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发明专利（授权）</w:t>
            </w:r>
          </w:p>
        </w:tc>
        <w:tc>
          <w:tcPr>
            <w:tcW w:w="1032" w:type="pct"/>
            <w:tcBorders>
              <w:top w:val="nil"/>
              <w:left w:val="nil"/>
              <w:bottom w:val="single" w:color="auto" w:sz="4" w:space="0"/>
              <w:right w:val="single" w:color="auto" w:sz="4" w:space="0"/>
            </w:tcBorders>
            <w:vAlign w:val="center"/>
          </w:tcPr>
          <w:p>
            <w:pPr>
              <w:adjustRightInd w:val="0"/>
              <w:snapToGrid w:val="0"/>
              <w:ind w:left="-14" w:leftChars="-38" w:right="-80" w:rightChars="-38" w:hanging="66" w:hangingChars="33"/>
              <w:jc w:val="center"/>
              <w:rPr>
                <w:rFonts w:ascii="宋体" w:hAnsi="宋体" w:eastAsia="宋体" w:cs="宋体"/>
                <w:spacing w:val="-10"/>
                <w:sz w:val="22"/>
                <w:szCs w:val="24"/>
              </w:rPr>
            </w:pPr>
            <w:r>
              <w:rPr>
                <w:rFonts w:hint="eastAsia" w:ascii="宋体" w:hAnsi="宋体" w:eastAsia="宋体" w:cs="宋体"/>
                <w:spacing w:val="-10"/>
                <w:sz w:val="22"/>
                <w:szCs w:val="24"/>
              </w:rPr>
              <w:t>第一专利人：5分</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其他：1分</w:t>
            </w:r>
          </w:p>
        </w:tc>
        <w:tc>
          <w:tcPr>
            <w:tcW w:w="962" w:type="pct"/>
            <w:vMerge w:val="restart"/>
            <w:tcBorders>
              <w:top w:val="nil"/>
              <w:left w:val="single" w:color="auto" w:sz="4" w:space="0"/>
              <w:bottom w:val="single" w:color="000000"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与工作相关。</w:t>
            </w:r>
            <w:r>
              <w:rPr>
                <w:rFonts w:hint="eastAsia" w:ascii="宋体" w:hAnsi="宋体" w:eastAsia="宋体" w:cs="宋体"/>
                <w:spacing w:val="-20"/>
                <w:sz w:val="22"/>
                <w:szCs w:val="24"/>
              </w:rPr>
              <w:t>总分不超过5分</w:t>
            </w:r>
          </w:p>
        </w:tc>
      </w:tr>
      <w:tr>
        <w:tblPrEx>
          <w:tblCellMar>
            <w:top w:w="0" w:type="dxa"/>
            <w:left w:w="108" w:type="dxa"/>
            <w:bottom w:w="0" w:type="dxa"/>
            <w:right w:w="108" w:type="dxa"/>
          </w:tblCellMar>
        </w:tblPrEx>
        <w:trPr>
          <w:cantSplit/>
          <w:trHeight w:val="454" w:hRule="atLeast"/>
          <w:jc w:val="center"/>
        </w:trPr>
        <w:tc>
          <w:tcPr>
            <w:tcW w:w="7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1263"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实用性专利</w:t>
            </w:r>
          </w:p>
        </w:tc>
        <w:tc>
          <w:tcPr>
            <w:tcW w:w="1032" w:type="pct"/>
            <w:tcBorders>
              <w:top w:val="nil"/>
              <w:left w:val="nil"/>
              <w:bottom w:val="single" w:color="auto" w:sz="4" w:space="0"/>
              <w:right w:val="single" w:color="auto" w:sz="4" w:space="0"/>
            </w:tcBorders>
            <w:vAlign w:val="center"/>
          </w:tcPr>
          <w:p>
            <w:pPr>
              <w:adjustRightInd w:val="0"/>
              <w:snapToGrid w:val="0"/>
              <w:ind w:left="-14" w:leftChars="-38" w:right="-80" w:rightChars="-38" w:hanging="66" w:hangingChars="33"/>
              <w:jc w:val="center"/>
              <w:rPr>
                <w:rFonts w:ascii="宋体" w:hAnsi="宋体" w:eastAsia="宋体" w:cs="宋体"/>
                <w:spacing w:val="-10"/>
                <w:sz w:val="22"/>
                <w:szCs w:val="24"/>
              </w:rPr>
            </w:pPr>
            <w:r>
              <w:rPr>
                <w:rFonts w:hint="eastAsia" w:ascii="宋体" w:hAnsi="宋体" w:eastAsia="宋体" w:cs="宋体"/>
                <w:spacing w:val="-10"/>
                <w:sz w:val="22"/>
                <w:szCs w:val="24"/>
              </w:rPr>
              <w:t>第一专利人：2分</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其他：0.5分</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sz w:val="22"/>
                <w:szCs w:val="24"/>
              </w:rPr>
            </w:pPr>
          </w:p>
        </w:tc>
      </w:tr>
      <w:tr>
        <w:tblPrEx>
          <w:tblCellMar>
            <w:top w:w="0" w:type="dxa"/>
            <w:left w:w="108" w:type="dxa"/>
            <w:bottom w:w="0" w:type="dxa"/>
            <w:right w:w="108" w:type="dxa"/>
          </w:tblCellMar>
        </w:tblPrEx>
        <w:trPr>
          <w:cantSplit/>
          <w:trHeight w:val="454" w:hRule="atLeast"/>
          <w:jc w:val="center"/>
        </w:trPr>
        <w:tc>
          <w:tcPr>
            <w:tcW w:w="779" w:type="pct"/>
            <w:tcBorders>
              <w:top w:val="nil"/>
              <w:left w:val="single" w:color="auto" w:sz="4" w:space="0"/>
              <w:bottom w:val="nil"/>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发表文章分</w:t>
            </w:r>
          </w:p>
        </w:tc>
        <w:tc>
          <w:tcPr>
            <w:tcW w:w="2295" w:type="pct"/>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在有刊号刊物上发表论文</w:t>
            </w:r>
          </w:p>
          <w:p>
            <w:pPr>
              <w:adjustRightInd w:val="0"/>
              <w:snapToGrid w:val="0"/>
              <w:jc w:val="center"/>
              <w:rPr>
                <w:rFonts w:ascii="宋体" w:hAnsi="宋体" w:eastAsia="宋体" w:cs="宋体"/>
                <w:sz w:val="22"/>
                <w:szCs w:val="24"/>
              </w:rPr>
            </w:pPr>
            <w:r>
              <w:rPr>
                <w:rFonts w:hint="eastAsia" w:ascii="宋体" w:hAnsi="宋体" w:eastAsia="宋体" w:cs="宋体"/>
                <w:sz w:val="22"/>
                <w:szCs w:val="24"/>
              </w:rPr>
              <w:t>（超过1600字）</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每篇0.5分</w:t>
            </w:r>
          </w:p>
        </w:tc>
        <w:tc>
          <w:tcPr>
            <w:tcW w:w="962" w:type="pct"/>
            <w:tcBorders>
              <w:top w:val="nil"/>
              <w:left w:val="nil"/>
              <w:bottom w:val="single" w:color="auto" w:sz="4" w:space="0"/>
              <w:right w:val="single" w:color="auto" w:sz="4" w:space="0"/>
            </w:tcBorders>
            <w:vAlign w:val="center"/>
          </w:tcPr>
          <w:p>
            <w:pPr>
              <w:adjustRightInd w:val="0"/>
              <w:snapToGrid w:val="0"/>
              <w:ind w:left="-14" w:leftChars="-37" w:hanging="64" w:hangingChars="32"/>
              <w:jc w:val="center"/>
              <w:rPr>
                <w:rFonts w:ascii="宋体" w:hAnsi="宋体" w:eastAsia="宋体" w:cs="宋体"/>
                <w:spacing w:val="-10"/>
                <w:sz w:val="22"/>
                <w:szCs w:val="24"/>
              </w:rPr>
            </w:pPr>
            <w:r>
              <w:rPr>
                <w:rFonts w:hint="eastAsia" w:ascii="宋体" w:hAnsi="宋体" w:eastAsia="宋体" w:cs="宋体"/>
                <w:spacing w:val="-10"/>
                <w:sz w:val="22"/>
                <w:szCs w:val="24"/>
              </w:rPr>
              <w:t>总分不超过1分</w:t>
            </w:r>
          </w:p>
        </w:tc>
      </w:tr>
      <w:tr>
        <w:tblPrEx>
          <w:tblCellMar>
            <w:top w:w="0" w:type="dxa"/>
            <w:left w:w="108" w:type="dxa"/>
            <w:bottom w:w="0" w:type="dxa"/>
            <w:right w:w="108" w:type="dxa"/>
          </w:tblCellMar>
        </w:tblPrEx>
        <w:trPr>
          <w:cantSplit/>
          <w:trHeight w:val="454"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学历分</w:t>
            </w:r>
          </w:p>
        </w:tc>
        <w:tc>
          <w:tcPr>
            <w:tcW w:w="1263" w:type="pct"/>
            <w:tcBorders>
              <w:top w:val="single" w:color="auto" w:sz="4" w:space="0"/>
              <w:left w:val="nil"/>
              <w:bottom w:val="single" w:color="auto" w:sz="4" w:space="0"/>
              <w:right w:val="single" w:color="000000"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硕士研究生2分</w:t>
            </w:r>
          </w:p>
        </w:tc>
        <w:tc>
          <w:tcPr>
            <w:tcW w:w="1032" w:type="pct"/>
            <w:tcBorders>
              <w:top w:val="nil"/>
              <w:left w:val="nil"/>
              <w:bottom w:val="single" w:color="auto" w:sz="4" w:space="0"/>
              <w:right w:val="single" w:color="auto" w:sz="4" w:space="0"/>
            </w:tcBorders>
            <w:vAlign w:val="center"/>
          </w:tcPr>
          <w:p>
            <w:pPr>
              <w:adjustRightInd w:val="0"/>
              <w:snapToGrid w:val="0"/>
              <w:ind w:left="-8" w:leftChars="-37" w:hanging="70" w:hangingChars="32"/>
              <w:jc w:val="center"/>
              <w:rPr>
                <w:rFonts w:ascii="宋体" w:hAnsi="宋体" w:eastAsia="宋体" w:cs="宋体"/>
                <w:sz w:val="22"/>
                <w:szCs w:val="24"/>
              </w:rPr>
            </w:pPr>
            <w:r>
              <w:rPr>
                <w:rFonts w:hint="eastAsia" w:ascii="宋体" w:hAnsi="宋体" w:eastAsia="宋体" w:cs="宋体"/>
                <w:sz w:val="22"/>
                <w:szCs w:val="24"/>
              </w:rPr>
              <w:t>大学</w:t>
            </w:r>
            <w:r>
              <w:rPr>
                <w:rFonts w:hint="eastAsia" w:ascii="宋体" w:hAnsi="宋体" w:eastAsia="宋体" w:cs="宋体"/>
                <w:spacing w:val="-10"/>
                <w:sz w:val="22"/>
                <w:szCs w:val="24"/>
              </w:rPr>
              <w:t>本科</w:t>
            </w:r>
            <w:r>
              <w:rPr>
                <w:rFonts w:hint="eastAsia" w:ascii="宋体" w:hAnsi="宋体" w:eastAsia="宋体" w:cs="宋体"/>
                <w:sz w:val="22"/>
                <w:szCs w:val="24"/>
              </w:rPr>
              <w:t>1.5分</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大学专科1分</w:t>
            </w:r>
          </w:p>
        </w:tc>
        <w:tc>
          <w:tcPr>
            <w:tcW w:w="962" w:type="pct"/>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p>
        </w:tc>
      </w:tr>
      <w:tr>
        <w:tblPrEx>
          <w:tblCellMar>
            <w:top w:w="0" w:type="dxa"/>
            <w:left w:w="108" w:type="dxa"/>
            <w:bottom w:w="0" w:type="dxa"/>
            <w:right w:w="108" w:type="dxa"/>
          </w:tblCellMar>
        </w:tblPrEx>
        <w:trPr>
          <w:cantSplit/>
          <w:trHeight w:val="454" w:hRule="atLeast"/>
          <w:jc w:val="center"/>
        </w:trPr>
        <w:tc>
          <w:tcPr>
            <w:tcW w:w="779" w:type="pct"/>
            <w:vMerge w:val="restart"/>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工龄分</w:t>
            </w:r>
          </w:p>
        </w:tc>
        <w:tc>
          <w:tcPr>
            <w:tcW w:w="4220" w:type="pct"/>
            <w:gridSpan w:val="4"/>
            <w:vMerge w:val="restart"/>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职工工龄1--20年每年按0.4分计，从第21年开始男职工每年按0.4分计，女职工按每年0.5分计。≥6个月按1年计算，&lt;6个月按0.2分计算</w:t>
            </w:r>
          </w:p>
        </w:tc>
      </w:tr>
      <w:tr>
        <w:tblPrEx>
          <w:tblCellMar>
            <w:top w:w="0" w:type="dxa"/>
            <w:left w:w="108" w:type="dxa"/>
            <w:bottom w:w="0" w:type="dxa"/>
            <w:right w:w="108" w:type="dxa"/>
          </w:tblCellMar>
        </w:tblPrEx>
        <w:trPr>
          <w:cantSplit/>
          <w:trHeight w:val="454" w:hRule="atLeast"/>
          <w:jc w:val="center"/>
        </w:trPr>
        <w:tc>
          <w:tcPr>
            <w:tcW w:w="7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2"/>
                <w:szCs w:val="24"/>
              </w:rPr>
            </w:pPr>
          </w:p>
        </w:tc>
        <w:tc>
          <w:tcPr>
            <w:tcW w:w="4220" w:type="pct"/>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sz w:val="22"/>
                <w:szCs w:val="24"/>
              </w:rPr>
            </w:pPr>
          </w:p>
        </w:tc>
      </w:tr>
      <w:tr>
        <w:tblPrEx>
          <w:tblCellMar>
            <w:top w:w="0" w:type="dxa"/>
            <w:left w:w="108" w:type="dxa"/>
            <w:bottom w:w="0" w:type="dxa"/>
            <w:right w:w="108" w:type="dxa"/>
          </w:tblCellMar>
        </w:tblPrEx>
        <w:trPr>
          <w:cantSplit/>
          <w:trHeight w:val="454" w:hRule="atLeast"/>
          <w:jc w:val="center"/>
        </w:trPr>
        <w:tc>
          <w:tcPr>
            <w:tcW w:w="779" w:type="pct"/>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年度考核分</w:t>
            </w:r>
          </w:p>
        </w:tc>
        <w:tc>
          <w:tcPr>
            <w:tcW w:w="4220" w:type="pct"/>
            <w:gridSpan w:val="4"/>
            <w:tcBorders>
              <w:top w:val="single" w:color="auto" w:sz="4" w:space="0"/>
              <w:left w:val="nil"/>
              <w:bottom w:val="single" w:color="auto" w:sz="4" w:space="0"/>
              <w:right w:val="single" w:color="000000" w:sz="4" w:space="0"/>
            </w:tcBorders>
            <w:vAlign w:val="center"/>
          </w:tcPr>
          <w:p>
            <w:pPr>
              <w:adjustRightInd w:val="0"/>
              <w:snapToGrid w:val="0"/>
              <w:jc w:val="center"/>
              <w:rPr>
                <w:rFonts w:ascii="宋体" w:hAnsi="宋体" w:eastAsia="宋体" w:cs="宋体"/>
                <w:sz w:val="22"/>
                <w:szCs w:val="24"/>
              </w:rPr>
            </w:pPr>
            <w:r>
              <w:rPr>
                <w:rFonts w:hint="eastAsia" w:ascii="宋体" w:hAnsi="宋体" w:eastAsia="宋体" w:cs="宋体"/>
                <w:sz w:val="22"/>
                <w:szCs w:val="24"/>
              </w:rPr>
              <w:t>年度考核优秀每次0.5分，总分不超过1分</w:t>
            </w:r>
          </w:p>
        </w:tc>
      </w:tr>
    </w:tbl>
    <w:p>
      <w:pPr>
        <w:adjustRightInd w:val="0"/>
        <w:snapToGrid w:val="0"/>
        <w:spacing w:before="159" w:beforeLines="50" w:line="360" w:lineRule="auto"/>
        <w:ind w:right="-57" w:rightChars="-27"/>
        <w:rPr>
          <w:rFonts w:ascii="宋体" w:hAnsi="宋体" w:eastAsia="宋体" w:cs="宋体"/>
          <w:sz w:val="22"/>
          <w:szCs w:val="24"/>
        </w:rPr>
      </w:pPr>
      <w:r>
        <w:rPr>
          <w:rFonts w:hint="eastAsia" w:ascii="宋体" w:hAnsi="宋体" w:eastAsia="宋体" w:cs="宋体"/>
          <w:bCs/>
          <w:sz w:val="22"/>
          <w:szCs w:val="24"/>
        </w:rPr>
        <w:t>备注：</w:t>
      </w:r>
      <w:r>
        <w:rPr>
          <w:rFonts w:hint="eastAsia" w:ascii="宋体" w:hAnsi="宋体" w:eastAsia="宋体" w:cs="宋体"/>
          <w:sz w:val="22"/>
          <w:szCs w:val="24"/>
        </w:rPr>
        <w:t>1.所有计分均从申报人获得高级工资格之日开始起算（工龄分除外）;</w:t>
      </w:r>
    </w:p>
    <w:p>
      <w:pPr>
        <w:adjustRightInd w:val="0"/>
        <w:snapToGrid w:val="0"/>
        <w:spacing w:line="360" w:lineRule="auto"/>
        <w:ind w:left="-676" w:leftChars="-322" w:right="-724" w:rightChars="-345" w:firstLine="1333" w:firstLineChars="606"/>
        <w:rPr>
          <w:rFonts w:ascii="宋体" w:hAnsi="宋体" w:eastAsia="宋体" w:cs="宋体"/>
          <w:sz w:val="22"/>
          <w:szCs w:val="24"/>
        </w:rPr>
      </w:pPr>
      <w:r>
        <w:rPr>
          <w:rFonts w:hint="eastAsia" w:ascii="宋体" w:hAnsi="宋体" w:eastAsia="宋体" w:cs="宋体"/>
          <w:sz w:val="22"/>
          <w:szCs w:val="24"/>
        </w:rPr>
        <w:t>2.论文指与本职工作相关的技术论文，非第一作者论文（课题）不计分；</w:t>
      </w:r>
    </w:p>
    <w:p>
      <w:pPr>
        <w:adjustRightInd w:val="0"/>
        <w:snapToGrid w:val="0"/>
        <w:spacing w:line="360" w:lineRule="auto"/>
        <w:ind w:left="-676" w:leftChars="-322" w:right="-724" w:rightChars="-345" w:firstLine="1320" w:firstLineChars="600"/>
        <w:rPr>
          <w:rFonts w:ascii="宋体" w:hAnsi="宋体" w:eastAsia="宋体" w:cs="宋体"/>
          <w:sz w:val="22"/>
          <w:szCs w:val="24"/>
        </w:rPr>
      </w:pPr>
      <w:r>
        <w:rPr>
          <w:rFonts w:hint="eastAsia" w:ascii="宋体" w:hAnsi="宋体" w:eastAsia="宋体" w:cs="宋体"/>
          <w:sz w:val="22"/>
          <w:szCs w:val="24"/>
        </w:rPr>
        <w:t>3.同一论文（课题）多次发表或获奖，只能就其中最高一项得分进行计分。</w:t>
      </w:r>
      <w:bookmarkStart w:id="4" w:name="_Toc24203480"/>
    </w:p>
    <w:p>
      <w:pPr>
        <w:jc w:val="left"/>
        <w:rPr>
          <w:rFonts w:ascii="宋体" w:hAnsi="宋体" w:eastAsia="宋体" w:cs="宋体"/>
          <w:sz w:val="28"/>
          <w:szCs w:val="24"/>
        </w:rPr>
      </w:pPr>
      <w:r>
        <w:rPr>
          <w:rFonts w:hint="eastAsia" w:ascii="宋体" w:hAnsi="宋体" w:eastAsia="宋体" w:cs="宋体"/>
          <w:sz w:val="28"/>
          <w:szCs w:val="24"/>
        </w:rPr>
        <w:t>附件2：</w:t>
      </w:r>
    </w:p>
    <w:p>
      <w:pPr>
        <w:jc w:val="left"/>
        <w:rPr>
          <w:rFonts w:ascii="宋体" w:hAnsi="宋体" w:eastAsia="宋体" w:cs="宋体"/>
          <w:sz w:val="10"/>
          <w:szCs w:val="10"/>
        </w:rPr>
      </w:pPr>
    </w:p>
    <w:p>
      <w:pPr>
        <w:spacing w:after="159" w:afterLines="50"/>
        <w:jc w:val="center"/>
        <w:rPr>
          <w:rFonts w:ascii="宋体" w:hAnsi="宋体" w:eastAsia="宋体" w:cs="宋体"/>
          <w:b/>
          <w:sz w:val="36"/>
          <w:szCs w:val="36"/>
        </w:rPr>
      </w:pPr>
      <w:r>
        <w:rPr>
          <w:rFonts w:hint="eastAsia" w:ascii="宋体" w:hAnsi="宋体" w:eastAsia="宋体" w:cs="宋体"/>
          <w:b/>
          <w:sz w:val="36"/>
          <w:szCs w:val="36"/>
        </w:rPr>
        <w:t>余区管委会工人技师评聘综合量化自评表</w:t>
      </w:r>
      <w:bookmarkEnd w:id="4"/>
    </w:p>
    <w:tbl>
      <w:tblPr>
        <w:tblStyle w:val="5"/>
        <w:tblW w:w="5229" w:type="pct"/>
        <w:tblInd w:w="0" w:type="dxa"/>
        <w:tblLayout w:type="autofit"/>
        <w:tblCellMar>
          <w:top w:w="0" w:type="dxa"/>
          <w:left w:w="108" w:type="dxa"/>
          <w:bottom w:w="0" w:type="dxa"/>
          <w:right w:w="108" w:type="dxa"/>
        </w:tblCellMar>
      </w:tblPr>
      <w:tblGrid>
        <w:gridCol w:w="1337"/>
        <w:gridCol w:w="1282"/>
        <w:gridCol w:w="1017"/>
        <w:gridCol w:w="1268"/>
        <w:gridCol w:w="1650"/>
        <w:gridCol w:w="971"/>
        <w:gridCol w:w="1193"/>
      </w:tblGrid>
      <w:tr>
        <w:tblPrEx>
          <w:tblCellMar>
            <w:top w:w="0" w:type="dxa"/>
            <w:left w:w="108" w:type="dxa"/>
            <w:bottom w:w="0" w:type="dxa"/>
            <w:right w:w="108" w:type="dxa"/>
          </w:tblCellMar>
        </w:tblPrEx>
        <w:trPr>
          <w:trHeight w:val="627" w:hRule="exact"/>
        </w:trPr>
        <w:tc>
          <w:tcPr>
            <w:tcW w:w="76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姓名</w:t>
            </w:r>
          </w:p>
        </w:tc>
        <w:tc>
          <w:tcPr>
            <w:tcW w:w="73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c>
          <w:tcPr>
            <w:tcW w:w="583"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性别</w:t>
            </w:r>
          </w:p>
        </w:tc>
        <w:tc>
          <w:tcPr>
            <w:tcW w:w="727"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c>
          <w:tcPr>
            <w:tcW w:w="946" w:type="pct"/>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出生年月</w:t>
            </w:r>
          </w:p>
        </w:tc>
        <w:tc>
          <w:tcPr>
            <w:tcW w:w="1240" w:type="pct"/>
            <w:gridSpan w:val="2"/>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627" w:hRule="exact"/>
        </w:trPr>
        <w:tc>
          <w:tcPr>
            <w:tcW w:w="76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工作时间</w:t>
            </w:r>
          </w:p>
        </w:tc>
        <w:tc>
          <w:tcPr>
            <w:tcW w:w="73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c>
          <w:tcPr>
            <w:tcW w:w="583"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连续工龄</w:t>
            </w: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文化程度</w:t>
            </w:r>
          </w:p>
        </w:tc>
        <w:tc>
          <w:tcPr>
            <w:tcW w:w="1240"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590" w:hRule="atLeast"/>
        </w:trPr>
        <w:tc>
          <w:tcPr>
            <w:tcW w:w="76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现工种</w:t>
            </w:r>
          </w:p>
        </w:tc>
        <w:tc>
          <w:tcPr>
            <w:tcW w:w="735"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c>
          <w:tcPr>
            <w:tcW w:w="583" w:type="pct"/>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现工种</w:t>
            </w:r>
          </w:p>
          <w:p>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时间</w:t>
            </w:r>
          </w:p>
        </w:tc>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现工种年限</w:t>
            </w:r>
          </w:p>
        </w:tc>
        <w:tc>
          <w:tcPr>
            <w:tcW w:w="1240"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590" w:hRule="atLeast"/>
        </w:trPr>
        <w:tc>
          <w:tcPr>
            <w:tcW w:w="1502" w:type="pct"/>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任高级工</w:t>
            </w:r>
          </w:p>
          <w:p>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岗位时间</w:t>
            </w:r>
          </w:p>
        </w:tc>
        <w:tc>
          <w:tcPr>
            <w:tcW w:w="1310" w:type="pct"/>
            <w:gridSpan w:val="2"/>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取得技师资格</w:t>
            </w:r>
          </w:p>
          <w:p>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时间</w:t>
            </w:r>
          </w:p>
        </w:tc>
        <w:tc>
          <w:tcPr>
            <w:tcW w:w="1240"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627" w:hRule="exact"/>
        </w:trPr>
        <w:tc>
          <w:tcPr>
            <w:tcW w:w="767" w:type="pct"/>
            <w:tcBorders>
              <w:top w:val="doub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bCs/>
                <w:sz w:val="24"/>
                <w:szCs w:val="24"/>
              </w:rPr>
            </w:pPr>
            <w:r>
              <w:rPr>
                <w:rFonts w:hint="eastAsia" w:ascii="宋体" w:hAnsi="宋体" w:eastAsia="宋体" w:cs="宋体"/>
                <w:bCs/>
                <w:sz w:val="24"/>
                <w:szCs w:val="24"/>
              </w:rPr>
              <w:t>项目</w:t>
            </w:r>
          </w:p>
        </w:tc>
        <w:tc>
          <w:tcPr>
            <w:tcW w:w="3548" w:type="pct"/>
            <w:gridSpan w:val="5"/>
            <w:tcBorders>
              <w:top w:val="doub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bCs/>
                <w:sz w:val="24"/>
                <w:szCs w:val="24"/>
              </w:rPr>
            </w:pPr>
            <w:r>
              <w:rPr>
                <w:rFonts w:hint="eastAsia" w:ascii="宋体" w:hAnsi="宋体" w:eastAsia="宋体" w:cs="宋体"/>
                <w:bCs/>
                <w:sz w:val="24"/>
                <w:szCs w:val="24"/>
              </w:rPr>
              <w:t>基本情况</w:t>
            </w:r>
          </w:p>
        </w:tc>
        <w:tc>
          <w:tcPr>
            <w:tcW w:w="684" w:type="pct"/>
            <w:tcBorders>
              <w:top w:val="doub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bCs/>
                <w:sz w:val="24"/>
                <w:szCs w:val="24"/>
              </w:rPr>
            </w:pPr>
            <w:r>
              <w:rPr>
                <w:rFonts w:hint="eastAsia" w:ascii="宋体" w:hAnsi="宋体" w:eastAsia="宋体" w:cs="宋体"/>
                <w:bCs/>
                <w:sz w:val="24"/>
                <w:szCs w:val="24"/>
              </w:rPr>
              <w:t>得分</w:t>
            </w:r>
          </w:p>
        </w:tc>
      </w:tr>
      <w:tr>
        <w:tblPrEx>
          <w:tblCellMar>
            <w:top w:w="0" w:type="dxa"/>
            <w:left w:w="108" w:type="dxa"/>
            <w:bottom w:w="0" w:type="dxa"/>
            <w:right w:w="108" w:type="dxa"/>
          </w:tblCellMar>
        </w:tblPrEx>
        <w:trPr>
          <w:trHeight w:val="1031" w:hRule="exact"/>
        </w:trPr>
        <w:tc>
          <w:tcPr>
            <w:tcW w:w="76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bCs/>
                <w:sz w:val="24"/>
                <w:szCs w:val="24"/>
              </w:rPr>
            </w:pPr>
            <w:r>
              <w:rPr>
                <w:rFonts w:hint="eastAsia" w:ascii="宋体" w:hAnsi="宋体" w:eastAsia="宋体" w:cs="宋体"/>
                <w:bCs/>
                <w:sz w:val="24"/>
                <w:szCs w:val="24"/>
              </w:rPr>
              <w:t>先进</w:t>
            </w:r>
          </w:p>
          <w:p>
            <w:pPr>
              <w:adjustRightInd w:val="0"/>
              <w:snapToGrid w:val="0"/>
              <w:spacing w:line="400" w:lineRule="exact"/>
              <w:jc w:val="center"/>
              <w:rPr>
                <w:rFonts w:ascii="宋体" w:hAnsi="宋体" w:eastAsia="宋体" w:cs="宋体"/>
                <w:bCs/>
                <w:sz w:val="24"/>
                <w:szCs w:val="24"/>
              </w:rPr>
            </w:pPr>
            <w:r>
              <w:rPr>
                <w:rFonts w:hint="eastAsia" w:ascii="宋体" w:hAnsi="宋体" w:eastAsia="宋体" w:cs="宋体"/>
                <w:bCs/>
                <w:sz w:val="24"/>
                <w:szCs w:val="24"/>
              </w:rPr>
              <w:t>奖励分</w:t>
            </w:r>
          </w:p>
        </w:tc>
        <w:tc>
          <w:tcPr>
            <w:tcW w:w="3548" w:type="pct"/>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p>
            <w:pPr>
              <w:adjustRightInd w:val="0"/>
              <w:snapToGrid w:val="0"/>
              <w:spacing w:line="400" w:lineRule="exact"/>
              <w:rPr>
                <w:rFonts w:ascii="宋体" w:hAnsi="宋体" w:eastAsia="宋体" w:cs="宋体"/>
                <w:sz w:val="24"/>
                <w:szCs w:val="24"/>
              </w:rPr>
            </w:pPr>
          </w:p>
        </w:tc>
        <w:tc>
          <w:tcPr>
            <w:tcW w:w="68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1341" w:hRule="exact"/>
        </w:trPr>
        <w:tc>
          <w:tcPr>
            <w:tcW w:w="76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bCs/>
                <w:sz w:val="24"/>
                <w:szCs w:val="24"/>
              </w:rPr>
            </w:pPr>
            <w:r>
              <w:rPr>
                <w:rFonts w:hint="eastAsia" w:ascii="宋体" w:hAnsi="宋体" w:eastAsia="宋体" w:cs="宋体"/>
                <w:bCs/>
                <w:sz w:val="24"/>
                <w:szCs w:val="24"/>
              </w:rPr>
              <w:t>业务技能、</w:t>
            </w:r>
          </w:p>
          <w:p>
            <w:pPr>
              <w:adjustRightInd w:val="0"/>
              <w:snapToGrid w:val="0"/>
              <w:spacing w:line="400" w:lineRule="exact"/>
              <w:jc w:val="center"/>
              <w:rPr>
                <w:rFonts w:ascii="宋体" w:hAnsi="宋体" w:eastAsia="宋体" w:cs="宋体"/>
                <w:bCs/>
                <w:sz w:val="24"/>
                <w:szCs w:val="24"/>
              </w:rPr>
            </w:pPr>
            <w:r>
              <w:rPr>
                <w:rFonts w:hint="eastAsia" w:ascii="宋体" w:hAnsi="宋体" w:eastAsia="宋体" w:cs="宋体"/>
                <w:bCs/>
                <w:sz w:val="24"/>
                <w:szCs w:val="24"/>
              </w:rPr>
              <w:t>课题（论文）</w:t>
            </w:r>
          </w:p>
          <w:p>
            <w:pPr>
              <w:adjustRightInd w:val="0"/>
              <w:snapToGrid w:val="0"/>
              <w:spacing w:line="400" w:lineRule="exact"/>
              <w:jc w:val="center"/>
              <w:rPr>
                <w:rFonts w:ascii="宋体" w:hAnsi="宋体" w:eastAsia="宋体" w:cs="宋体"/>
                <w:bCs/>
                <w:sz w:val="24"/>
                <w:szCs w:val="24"/>
              </w:rPr>
            </w:pPr>
            <w:r>
              <w:rPr>
                <w:rFonts w:hint="eastAsia" w:ascii="宋体" w:hAnsi="宋体" w:eastAsia="宋体" w:cs="宋体"/>
                <w:bCs/>
                <w:sz w:val="24"/>
                <w:szCs w:val="24"/>
              </w:rPr>
              <w:t>获奖分</w:t>
            </w:r>
          </w:p>
        </w:tc>
        <w:tc>
          <w:tcPr>
            <w:tcW w:w="3548" w:type="pct"/>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c>
          <w:tcPr>
            <w:tcW w:w="68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969" w:hRule="exact"/>
        </w:trPr>
        <w:tc>
          <w:tcPr>
            <w:tcW w:w="76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bCs/>
                <w:sz w:val="24"/>
                <w:szCs w:val="24"/>
              </w:rPr>
            </w:pPr>
            <w:r>
              <w:rPr>
                <w:rFonts w:hint="eastAsia" w:ascii="宋体" w:hAnsi="宋体" w:eastAsia="宋体" w:cs="宋体"/>
                <w:bCs/>
                <w:sz w:val="24"/>
                <w:szCs w:val="24"/>
              </w:rPr>
              <w:t>专利获奖分</w:t>
            </w:r>
          </w:p>
        </w:tc>
        <w:tc>
          <w:tcPr>
            <w:tcW w:w="3548" w:type="pct"/>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rPr>
                <w:rFonts w:ascii="宋体" w:hAnsi="宋体" w:eastAsia="宋体" w:cs="宋体"/>
                <w:sz w:val="24"/>
                <w:szCs w:val="24"/>
              </w:rPr>
            </w:pPr>
            <w:r>
              <w:rPr>
                <w:rFonts w:hint="eastAsia" w:ascii="宋体" w:hAnsi="宋体" w:eastAsia="宋体" w:cs="宋体"/>
                <w:sz w:val="24"/>
                <w:szCs w:val="24"/>
              </w:rPr>
              <w:t>专利名称及专利号：</w:t>
            </w:r>
          </w:p>
        </w:tc>
        <w:tc>
          <w:tcPr>
            <w:tcW w:w="68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1420" w:hRule="exact"/>
        </w:trPr>
        <w:tc>
          <w:tcPr>
            <w:tcW w:w="76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bCs/>
                <w:sz w:val="24"/>
                <w:szCs w:val="24"/>
              </w:rPr>
            </w:pPr>
            <w:r>
              <w:rPr>
                <w:rFonts w:hint="eastAsia" w:ascii="宋体" w:hAnsi="宋体" w:eastAsia="宋体" w:cs="宋体"/>
                <w:bCs/>
                <w:sz w:val="24"/>
                <w:szCs w:val="24"/>
              </w:rPr>
              <w:t>发表</w:t>
            </w:r>
          </w:p>
          <w:p>
            <w:pPr>
              <w:adjustRightInd w:val="0"/>
              <w:snapToGrid w:val="0"/>
              <w:spacing w:line="400" w:lineRule="exact"/>
              <w:jc w:val="center"/>
              <w:rPr>
                <w:rFonts w:ascii="宋体" w:hAnsi="宋体" w:eastAsia="宋体" w:cs="宋体"/>
                <w:bCs/>
                <w:sz w:val="24"/>
                <w:szCs w:val="24"/>
              </w:rPr>
            </w:pPr>
            <w:r>
              <w:rPr>
                <w:rFonts w:hint="eastAsia" w:ascii="宋体" w:hAnsi="宋体" w:eastAsia="宋体" w:cs="宋体"/>
                <w:bCs/>
                <w:sz w:val="24"/>
                <w:szCs w:val="24"/>
              </w:rPr>
              <w:t>文章分</w:t>
            </w:r>
          </w:p>
        </w:tc>
        <w:tc>
          <w:tcPr>
            <w:tcW w:w="3548" w:type="pct"/>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rPr>
                <w:rFonts w:ascii="宋体" w:hAnsi="宋体" w:eastAsia="宋体" w:cs="宋体"/>
                <w:sz w:val="24"/>
                <w:szCs w:val="24"/>
              </w:rPr>
            </w:pPr>
            <w:r>
              <w:rPr>
                <w:rFonts w:hint="eastAsia" w:ascii="宋体" w:hAnsi="宋体" w:eastAsia="宋体" w:cs="宋体"/>
                <w:sz w:val="24"/>
                <w:szCs w:val="24"/>
              </w:rPr>
              <w:t>刊物及论文名称：</w:t>
            </w:r>
          </w:p>
        </w:tc>
        <w:tc>
          <w:tcPr>
            <w:tcW w:w="68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969" w:hRule="exact"/>
        </w:trPr>
        <w:tc>
          <w:tcPr>
            <w:tcW w:w="76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bCs/>
                <w:sz w:val="24"/>
                <w:szCs w:val="24"/>
              </w:rPr>
            </w:pPr>
            <w:r>
              <w:rPr>
                <w:rFonts w:hint="eastAsia" w:ascii="宋体" w:hAnsi="宋体" w:eastAsia="宋体" w:cs="宋体"/>
                <w:bCs/>
                <w:sz w:val="24"/>
                <w:szCs w:val="24"/>
              </w:rPr>
              <w:t>学历分</w:t>
            </w:r>
          </w:p>
        </w:tc>
        <w:tc>
          <w:tcPr>
            <w:tcW w:w="3548" w:type="pct"/>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rPr>
                <w:rFonts w:ascii="宋体" w:hAnsi="宋体" w:eastAsia="宋体" w:cs="宋体"/>
                <w:sz w:val="24"/>
                <w:szCs w:val="24"/>
              </w:rPr>
            </w:pPr>
            <w:r>
              <w:rPr>
                <w:rFonts w:hint="eastAsia" w:ascii="宋体" w:hAnsi="宋体" w:eastAsia="宋体" w:cs="宋体"/>
                <w:sz w:val="24"/>
                <w:szCs w:val="24"/>
              </w:rPr>
              <w:t>毕业（结业）院校名称及层次：</w:t>
            </w:r>
          </w:p>
        </w:tc>
        <w:tc>
          <w:tcPr>
            <w:tcW w:w="68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889" w:hRule="exact"/>
        </w:trPr>
        <w:tc>
          <w:tcPr>
            <w:tcW w:w="76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bCs/>
                <w:sz w:val="24"/>
                <w:szCs w:val="24"/>
              </w:rPr>
            </w:pPr>
            <w:r>
              <w:rPr>
                <w:rFonts w:hint="eastAsia" w:ascii="宋体" w:hAnsi="宋体" w:eastAsia="宋体" w:cs="宋体"/>
                <w:bCs/>
                <w:sz w:val="24"/>
                <w:szCs w:val="24"/>
              </w:rPr>
              <w:t>工龄分</w:t>
            </w:r>
          </w:p>
        </w:tc>
        <w:tc>
          <w:tcPr>
            <w:tcW w:w="3548" w:type="pct"/>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rPr>
                <w:rFonts w:ascii="宋体" w:hAnsi="宋体" w:eastAsia="宋体" w:cs="宋体"/>
                <w:sz w:val="24"/>
                <w:szCs w:val="24"/>
              </w:rPr>
            </w:pPr>
          </w:p>
        </w:tc>
        <w:tc>
          <w:tcPr>
            <w:tcW w:w="68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804" w:hRule="exact"/>
        </w:trPr>
        <w:tc>
          <w:tcPr>
            <w:tcW w:w="76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bCs/>
                <w:sz w:val="24"/>
                <w:szCs w:val="24"/>
              </w:rPr>
            </w:pPr>
            <w:r>
              <w:rPr>
                <w:rFonts w:hint="eastAsia" w:ascii="宋体" w:hAnsi="宋体" w:eastAsia="宋体" w:cs="宋体"/>
                <w:bCs/>
                <w:sz w:val="24"/>
                <w:szCs w:val="24"/>
              </w:rPr>
              <w:t>年度考核分</w:t>
            </w:r>
          </w:p>
        </w:tc>
        <w:tc>
          <w:tcPr>
            <w:tcW w:w="3548" w:type="pct"/>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rPr>
                <w:rFonts w:ascii="宋体" w:hAnsi="宋体" w:eastAsia="宋体" w:cs="宋体"/>
                <w:sz w:val="24"/>
                <w:szCs w:val="24"/>
              </w:rPr>
            </w:pPr>
          </w:p>
        </w:tc>
        <w:tc>
          <w:tcPr>
            <w:tcW w:w="68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765" w:hRule="exact"/>
        </w:trPr>
        <w:tc>
          <w:tcPr>
            <w:tcW w:w="76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bCs/>
                <w:sz w:val="24"/>
                <w:szCs w:val="24"/>
              </w:rPr>
            </w:pPr>
            <w:r>
              <w:rPr>
                <w:rFonts w:hint="eastAsia" w:ascii="宋体" w:hAnsi="宋体" w:eastAsia="宋体" w:cs="宋体"/>
                <w:bCs/>
                <w:sz w:val="24"/>
                <w:szCs w:val="24"/>
              </w:rPr>
              <w:t>总分</w:t>
            </w:r>
          </w:p>
        </w:tc>
        <w:tc>
          <w:tcPr>
            <w:tcW w:w="4232" w:type="pct"/>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400" w:lineRule="exact"/>
              <w:jc w:val="center"/>
              <w:rPr>
                <w:rFonts w:ascii="宋体" w:hAnsi="宋体" w:eastAsia="宋体" w:cs="宋体"/>
                <w:sz w:val="24"/>
                <w:szCs w:val="24"/>
              </w:rPr>
            </w:pP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B113D7-6920-49A9-BAC5-48E4E57BF9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A9260A8-A154-430F-ACA1-ED53BDE8BAAE}"/>
  </w:font>
  <w:font w:name="等线">
    <w:altName w:val="Arial Unicode MS"/>
    <w:panose1 w:val="02010600030101010101"/>
    <w:charset w:val="86"/>
    <w:family w:val="auto"/>
    <w:pitch w:val="default"/>
    <w:sig w:usb0="00000000" w:usb1="00000000" w:usb2="00000016" w:usb3="00000000" w:csb0="0004000F" w:csb1="00000000"/>
  </w:font>
  <w:font w:name="方正大标宋简体">
    <w:panose1 w:val="02000000000000000000"/>
    <w:charset w:val="86"/>
    <w:family w:val="auto"/>
    <w:pitch w:val="default"/>
    <w:sig w:usb0="A00002BF" w:usb1="184F6CFA" w:usb2="00000012" w:usb3="00000000" w:csb0="00040001" w:csb1="00000000"/>
    <w:embedRegular r:id="rId3" w:fontKey="{31827A56-6D76-477C-AEA5-139AC50E6730}"/>
  </w:font>
  <w:font w:name="方正仿宋_GB2312">
    <w:panose1 w:val="02000000000000000000"/>
    <w:charset w:val="86"/>
    <w:family w:val="auto"/>
    <w:pitch w:val="default"/>
    <w:sig w:usb0="A00002BF" w:usb1="184F6CFA" w:usb2="00000012" w:usb3="00000000" w:csb0="00040001" w:csb1="00000000"/>
    <w:embedRegular r:id="rId4" w:fontKey="{4F77C475-3F67-4AB0-A247-C6ADE72A6895}"/>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5" w:name="_GoBack"/>
    <w:bookmarkEnd w:id="5"/>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NzI1MDQ4OTkwZDhjODFmYzk3NWFlNjE4YzY0NzUifQ=="/>
  </w:docVars>
  <w:rsids>
    <w:rsidRoot w:val="2FCF52E6"/>
    <w:rsid w:val="123C49FD"/>
    <w:rsid w:val="2FCF5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eastAsia="黑体"/>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4338</Words>
  <Characters>4426</Characters>
  <Lines>0</Lines>
  <Paragraphs>0</Paragraphs>
  <TotalTime>6</TotalTime>
  <ScaleCrop>false</ScaleCrop>
  <LinksUpToDate>false</LinksUpToDate>
  <CharactersWithSpaces>4483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2023-04-21T12:57:00Z</dcterms:created>
  <dc:creator>高恰</dc:creator>
  <cp:lastModifiedBy>高恰</cp:lastModifiedBy>
  <dcterms:modified xsi:type="dcterms:W3CDTF">2023-04-21T13:08:00Z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D8AEC0CD05144367A521ECD3815EDF10_11</vt:lpwstr>
  </property>
</Properties>
</file>