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余区管委会维修工程资料档案管理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实施细则</w:t>
      </w:r>
    </w:p>
    <w:bookmarkEnd w:id="0"/>
    <w:p>
      <w:pPr>
        <w:spacing w:line="500" w:lineRule="exact"/>
        <w:ind w:firstLine="944" w:firstLineChars="295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第一条</w:t>
      </w:r>
      <w:r>
        <w:rPr>
          <w:rFonts w:hint="eastAsia" w:ascii="仿宋_GB2312" w:hAnsi="Calibri" w:eastAsia="仿宋_GB2312"/>
          <w:sz w:val="32"/>
          <w:szCs w:val="32"/>
        </w:rPr>
        <w:t xml:space="preserve"> 为加强学校维修工程资料档案管理，规范维修工程工作程序，依据《武汉理工大学维修工程管理办法》等学校的相关规定，结合学校实际，特制定本细则。</w:t>
      </w:r>
    </w:p>
    <w:p>
      <w:pPr>
        <w:spacing w:line="500" w:lineRule="exact"/>
        <w:ind w:firstLine="643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第二条</w:t>
      </w:r>
      <w:r>
        <w:rPr>
          <w:rFonts w:hint="eastAsia" w:ascii="仿宋_GB2312" w:hAnsi="Calibri" w:eastAsia="仿宋_GB2312"/>
          <w:sz w:val="32"/>
          <w:szCs w:val="32"/>
        </w:rPr>
        <w:t xml:space="preserve"> 维修工程资料档案管理包括与维修工程实施相关的所有材料。</w:t>
      </w:r>
    </w:p>
    <w:p>
      <w:pPr>
        <w:spacing w:line="500" w:lineRule="exact"/>
        <w:ind w:firstLine="643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第三条</w:t>
      </w:r>
      <w:r>
        <w:rPr>
          <w:rFonts w:hint="eastAsia" w:ascii="仿宋_GB2312" w:hAnsi="Calibri" w:eastAsia="仿宋_GB2312"/>
          <w:sz w:val="32"/>
          <w:szCs w:val="32"/>
        </w:rPr>
        <w:t xml:space="preserve"> 维修工程资料按以下分类收集及存档</w:t>
      </w:r>
    </w:p>
    <w:p>
      <w:pPr>
        <w:spacing w:line="50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(一)零星维修项目由项目甲方代表负责进行资料收集包括但不限于: 项目申请报告、施工签证和结算书等。资料管理员每年定期审核后在维修工程管理单位存档。</w:t>
      </w:r>
    </w:p>
    <w:p>
      <w:pPr>
        <w:spacing w:line="500" w:lineRule="exact"/>
        <w:rPr>
          <w:rFonts w:hint="eastAsia" w:ascii="仿宋_GB2312" w:hAnsi="Calibri" w:eastAsia="仿宋_GB2312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(二)立项项目由项目甲方代表负责进行资料收集，包括但不限于: 立项文件、检测报告、设计图纸、预算书、招投标文件、竣工结算书(含施工过程中联系函及签证 )、结算审计书以及各类合同等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/>
          <w:sz w:val="32"/>
          <w:szCs w:val="32"/>
        </w:rPr>
        <w:t>项目结算审计完成后，项目甲方代表在1个月内将项目资料整理交资料管理员，资料管理员审核后按照学校相关规定移交校档案馆存档，或在维修工程管理单位存档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第四条</w:t>
      </w:r>
      <w:r>
        <w:rPr>
          <w:rFonts w:hint="eastAsia" w:ascii="仿宋_GB2312" w:hAnsi="Calibri" w:eastAsia="仿宋_GB2312"/>
          <w:sz w:val="32"/>
          <w:szCs w:val="32"/>
        </w:rPr>
        <w:t xml:space="preserve"> 本细则于 2022年9月制定，根据学校实际情况，可适时予以修订和完善。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8D10858-83C0-44CC-887D-58E410AE6E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0F3FE2F-EE74-448F-B9B5-3A6C3DA18C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04A64F-4BB7-4D6F-A666-E7C26489AC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00000000"/>
    <w:rsid w:val="259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2023-09-27T15:50:46Z</dcterms:created>
  <dc:creator>Administrator</dc:creator>
  <cp:lastModifiedBy>高恰</cp:lastModifiedBy>
  <dcterms:modified xsi:type="dcterms:W3CDTF">2023-09-27T15:51:55Z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7157DEB2AB1548308E1B609587F7AC26_12</vt:lpwstr>
  </property>
</Properties>
</file>